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00" w:rsidRPr="008F0376" w:rsidRDefault="00767200" w:rsidP="00767200">
      <w:pPr>
        <w:pStyle w:val="NoSpacing"/>
        <w:rPr>
          <w:rFonts w:ascii="Times New Roman" w:hAnsi="Times New Roman" w:cs="Times New Roman"/>
          <w:b/>
          <w:sz w:val="28"/>
          <w:szCs w:val="28"/>
          <w:u w:val="single"/>
        </w:rPr>
      </w:pPr>
      <w:r w:rsidRPr="008F0376">
        <w:rPr>
          <w:rFonts w:ascii="Times New Roman" w:hAnsi="Times New Roman" w:cs="Times New Roman"/>
          <w:b/>
          <w:sz w:val="28"/>
          <w:szCs w:val="28"/>
          <w:u w:val="single"/>
        </w:rPr>
        <w:t>Pupil Premium Report</w:t>
      </w:r>
    </w:p>
    <w:p w:rsidR="00767200" w:rsidRPr="008F0376" w:rsidRDefault="00767200" w:rsidP="00767200">
      <w:pPr>
        <w:pStyle w:val="NoSpacing"/>
        <w:rPr>
          <w:rFonts w:ascii="Times New Roman" w:hAnsi="Times New Roman" w:cs="Times New Roman"/>
          <w:b/>
          <w:sz w:val="28"/>
          <w:szCs w:val="28"/>
          <w:u w:val="single"/>
        </w:rPr>
      </w:pPr>
    </w:p>
    <w:p w:rsidR="00767200" w:rsidRPr="008F0376" w:rsidRDefault="00767200" w:rsidP="00767200">
      <w:pPr>
        <w:pStyle w:val="NoSpacing"/>
        <w:tabs>
          <w:tab w:val="left" w:pos="1290"/>
        </w:tabs>
        <w:rPr>
          <w:rFonts w:ascii="Times New Roman" w:hAnsi="Times New Roman" w:cs="Times New Roman"/>
          <w:b/>
          <w:sz w:val="28"/>
          <w:szCs w:val="28"/>
          <w:u w:val="single"/>
        </w:rPr>
      </w:pPr>
      <w:r w:rsidRPr="008F0376">
        <w:rPr>
          <w:rFonts w:ascii="Times New Roman" w:hAnsi="Times New Roman" w:cs="Times New Roman"/>
          <w:b/>
          <w:sz w:val="28"/>
          <w:szCs w:val="28"/>
          <w:u w:val="single"/>
        </w:rPr>
        <w:t>July 2016</w:t>
      </w:r>
      <w:r w:rsidRPr="008F0376">
        <w:rPr>
          <w:rFonts w:ascii="Times New Roman" w:hAnsi="Times New Roman" w:cs="Times New Roman"/>
          <w:b/>
          <w:sz w:val="28"/>
          <w:szCs w:val="28"/>
          <w:u w:val="single"/>
        </w:rPr>
        <w:tab/>
      </w:r>
    </w:p>
    <w:p w:rsidR="00767200" w:rsidRPr="008F0376" w:rsidRDefault="00767200" w:rsidP="00767200">
      <w:pPr>
        <w:pStyle w:val="NoSpacing"/>
        <w:tabs>
          <w:tab w:val="left" w:pos="1290"/>
        </w:tabs>
        <w:rPr>
          <w:rFonts w:ascii="Times New Roman" w:hAnsi="Times New Roman" w:cs="Times New Roman"/>
          <w:sz w:val="28"/>
          <w:szCs w:val="28"/>
        </w:rPr>
      </w:pPr>
    </w:p>
    <w:p w:rsidR="00767200" w:rsidRPr="00ED562C" w:rsidRDefault="00767200" w:rsidP="00767200">
      <w:pPr>
        <w:pStyle w:val="NoSpacing"/>
        <w:tabs>
          <w:tab w:val="left" w:pos="1290"/>
        </w:tabs>
        <w:rPr>
          <w:rFonts w:ascii="Times New Roman" w:hAnsi="Times New Roman" w:cs="Times New Roman"/>
          <w:sz w:val="24"/>
          <w:szCs w:val="24"/>
        </w:rPr>
      </w:pPr>
      <w:r w:rsidRPr="00ED562C">
        <w:rPr>
          <w:rFonts w:ascii="Times New Roman" w:hAnsi="Times New Roman" w:cs="Times New Roman"/>
          <w:sz w:val="24"/>
          <w:szCs w:val="24"/>
        </w:rPr>
        <w:t xml:space="preserve">This report focuses on the </w:t>
      </w:r>
    </w:p>
    <w:p w:rsidR="00767200" w:rsidRPr="00ED562C" w:rsidRDefault="00767200" w:rsidP="00767200">
      <w:pPr>
        <w:pStyle w:val="NoSpacing"/>
        <w:tabs>
          <w:tab w:val="left" w:pos="1290"/>
        </w:tabs>
        <w:rPr>
          <w:rFonts w:ascii="Times New Roman" w:hAnsi="Times New Roman" w:cs="Times New Roman"/>
          <w:sz w:val="24"/>
          <w:szCs w:val="24"/>
        </w:rPr>
      </w:pPr>
      <w:r w:rsidRPr="00ED562C">
        <w:rPr>
          <w:rFonts w:ascii="Times New Roman" w:hAnsi="Times New Roman" w:cs="Times New Roman"/>
          <w:sz w:val="24"/>
          <w:szCs w:val="24"/>
        </w:rPr>
        <w:tab/>
      </w:r>
    </w:p>
    <w:p w:rsidR="00767200" w:rsidRPr="00ED562C" w:rsidRDefault="00767200" w:rsidP="00767200">
      <w:pPr>
        <w:pStyle w:val="NoSpacing"/>
        <w:numPr>
          <w:ilvl w:val="0"/>
          <w:numId w:val="2"/>
        </w:numPr>
        <w:tabs>
          <w:tab w:val="left" w:pos="1290"/>
        </w:tabs>
        <w:rPr>
          <w:rFonts w:ascii="Times New Roman" w:hAnsi="Times New Roman" w:cs="Times New Roman"/>
          <w:sz w:val="24"/>
          <w:szCs w:val="24"/>
        </w:rPr>
      </w:pPr>
      <w:r w:rsidRPr="00ED562C">
        <w:rPr>
          <w:rFonts w:ascii="Times New Roman" w:hAnsi="Times New Roman" w:cs="Times New Roman"/>
          <w:sz w:val="24"/>
          <w:szCs w:val="24"/>
        </w:rPr>
        <w:t>The Pupil Premium Funding Cycle</w:t>
      </w:r>
    </w:p>
    <w:p w:rsidR="00767200" w:rsidRPr="00ED562C" w:rsidRDefault="00767200" w:rsidP="00767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Pr="00ED562C">
        <w:rPr>
          <w:rFonts w:ascii="Times New Roman" w:hAnsi="Times New Roman" w:cs="Times New Roman"/>
          <w:sz w:val="24"/>
          <w:szCs w:val="24"/>
        </w:rPr>
        <w:t>Deprivation Pupil Premium at St Oswalds</w:t>
      </w:r>
    </w:p>
    <w:p w:rsidR="00767200" w:rsidRPr="00F20806" w:rsidRDefault="00767200" w:rsidP="00767200">
      <w:pPr>
        <w:pStyle w:val="ListParagraph"/>
        <w:ind w:left="1080"/>
        <w:rPr>
          <w:rFonts w:ascii="Times New Roman" w:hAnsi="Times New Roman" w:cs="Times New Roman"/>
          <w:sz w:val="28"/>
          <w:szCs w:val="28"/>
        </w:rPr>
      </w:pPr>
    </w:p>
    <w:p w:rsidR="00767200" w:rsidRPr="00254D9F" w:rsidRDefault="00767200" w:rsidP="00767200">
      <w:pPr>
        <w:pStyle w:val="NoSpacing"/>
        <w:rPr>
          <w:rFonts w:ascii="Times New Roman" w:hAnsi="Times New Roman" w:cs="Times New Roman"/>
          <w:b/>
          <w:sz w:val="28"/>
          <w:szCs w:val="28"/>
          <w:u w:val="single"/>
        </w:rPr>
      </w:pPr>
      <w:r w:rsidRPr="00254D9F">
        <w:rPr>
          <w:rFonts w:ascii="Times New Roman" w:hAnsi="Times New Roman" w:cs="Times New Roman"/>
          <w:b/>
          <w:sz w:val="28"/>
          <w:szCs w:val="28"/>
          <w:u w:val="single"/>
        </w:rPr>
        <w:t>Funding Cycle</w:t>
      </w:r>
    </w:p>
    <w:p w:rsidR="00767200" w:rsidRPr="008F0376" w:rsidRDefault="00767200" w:rsidP="00767200">
      <w:pPr>
        <w:pStyle w:val="NoSpacing"/>
        <w:rPr>
          <w:rFonts w:ascii="Times New Roman" w:hAnsi="Times New Roman" w:cs="Times New Roman"/>
          <w:sz w:val="28"/>
          <w:szCs w:val="28"/>
        </w:rPr>
      </w:pPr>
    </w:p>
    <w:p w:rsidR="00767200" w:rsidRPr="00ED562C" w:rsidRDefault="00767200" w:rsidP="00767200">
      <w:pPr>
        <w:pStyle w:val="NoSpacing"/>
        <w:rPr>
          <w:rFonts w:ascii="Times New Roman" w:hAnsi="Times New Roman" w:cs="Times New Roman"/>
          <w:sz w:val="24"/>
          <w:szCs w:val="24"/>
        </w:rPr>
      </w:pPr>
      <w:r w:rsidRPr="00ED562C">
        <w:rPr>
          <w:rFonts w:ascii="Times New Roman" w:hAnsi="Times New Roman" w:cs="Times New Roman"/>
          <w:sz w:val="24"/>
          <w:szCs w:val="24"/>
        </w:rPr>
        <w:t xml:space="preserve"> Pupil Premium funding is based on the actual children in school at the end of January, who:</w:t>
      </w:r>
    </w:p>
    <w:p w:rsidR="00767200" w:rsidRPr="00ED562C" w:rsidRDefault="00767200" w:rsidP="00767200">
      <w:pPr>
        <w:pStyle w:val="NoSpacing"/>
        <w:jc w:val="center"/>
        <w:rPr>
          <w:rFonts w:ascii="Times New Roman" w:hAnsi="Times New Roman" w:cs="Times New Roman"/>
          <w:sz w:val="24"/>
          <w:szCs w:val="24"/>
        </w:rPr>
      </w:pPr>
    </w:p>
    <w:p w:rsidR="00767200" w:rsidRPr="00ED562C" w:rsidRDefault="00767200" w:rsidP="00767200">
      <w:pPr>
        <w:pStyle w:val="NoSpacing"/>
        <w:numPr>
          <w:ilvl w:val="0"/>
          <w:numId w:val="1"/>
        </w:numPr>
        <w:rPr>
          <w:rFonts w:ascii="Times New Roman" w:hAnsi="Times New Roman" w:cs="Times New Roman"/>
          <w:sz w:val="24"/>
          <w:szCs w:val="24"/>
        </w:rPr>
      </w:pPr>
      <w:r w:rsidRPr="00ED562C">
        <w:rPr>
          <w:rFonts w:ascii="Times New Roman" w:hAnsi="Times New Roman" w:cs="Times New Roman"/>
          <w:sz w:val="24"/>
          <w:szCs w:val="24"/>
        </w:rPr>
        <w:t>currently receive free school meals (FSM)</w:t>
      </w:r>
    </w:p>
    <w:p w:rsidR="00767200" w:rsidRPr="00ED562C" w:rsidRDefault="00767200" w:rsidP="00767200">
      <w:pPr>
        <w:pStyle w:val="NoSpacing"/>
        <w:numPr>
          <w:ilvl w:val="0"/>
          <w:numId w:val="1"/>
        </w:numPr>
        <w:rPr>
          <w:rFonts w:ascii="Times New Roman" w:hAnsi="Times New Roman" w:cs="Times New Roman"/>
          <w:sz w:val="24"/>
          <w:szCs w:val="24"/>
        </w:rPr>
      </w:pPr>
      <w:r w:rsidRPr="00ED562C">
        <w:rPr>
          <w:rFonts w:ascii="Times New Roman" w:hAnsi="Times New Roman" w:cs="Times New Roman"/>
          <w:sz w:val="24"/>
          <w:szCs w:val="24"/>
        </w:rPr>
        <w:t>have received free school meals any time in the last 6 years (Ever6)</w:t>
      </w:r>
    </w:p>
    <w:p w:rsidR="00767200" w:rsidRPr="00ED562C" w:rsidRDefault="00767200" w:rsidP="00767200">
      <w:pPr>
        <w:pStyle w:val="NoSpacing"/>
        <w:numPr>
          <w:ilvl w:val="0"/>
          <w:numId w:val="1"/>
        </w:numPr>
        <w:rPr>
          <w:rFonts w:ascii="Times New Roman" w:hAnsi="Times New Roman" w:cs="Times New Roman"/>
          <w:sz w:val="24"/>
          <w:szCs w:val="24"/>
        </w:rPr>
      </w:pPr>
      <w:r w:rsidRPr="00ED562C">
        <w:rPr>
          <w:rFonts w:ascii="Times New Roman" w:hAnsi="Times New Roman" w:cs="Times New Roman"/>
          <w:sz w:val="24"/>
          <w:szCs w:val="24"/>
        </w:rPr>
        <w:t>have a parent</w:t>
      </w:r>
      <w:r>
        <w:rPr>
          <w:rFonts w:ascii="Times New Roman" w:hAnsi="Times New Roman" w:cs="Times New Roman"/>
          <w:sz w:val="24"/>
          <w:szCs w:val="24"/>
        </w:rPr>
        <w:t xml:space="preserve"> in the Armed F</w:t>
      </w:r>
      <w:r w:rsidRPr="00ED562C">
        <w:rPr>
          <w:rFonts w:ascii="Times New Roman" w:hAnsi="Times New Roman" w:cs="Times New Roman"/>
          <w:sz w:val="24"/>
          <w:szCs w:val="24"/>
        </w:rPr>
        <w:t>orces</w:t>
      </w:r>
    </w:p>
    <w:p w:rsidR="00767200" w:rsidRPr="00ED562C" w:rsidRDefault="00767200" w:rsidP="00767200">
      <w:pPr>
        <w:pStyle w:val="NoSpacing"/>
        <w:numPr>
          <w:ilvl w:val="0"/>
          <w:numId w:val="1"/>
        </w:numPr>
        <w:rPr>
          <w:rFonts w:ascii="Times New Roman" w:hAnsi="Times New Roman" w:cs="Times New Roman"/>
          <w:sz w:val="24"/>
          <w:szCs w:val="24"/>
        </w:rPr>
      </w:pPr>
      <w:r w:rsidRPr="00ED562C">
        <w:rPr>
          <w:rFonts w:ascii="Times New Roman" w:hAnsi="Times New Roman" w:cs="Times New Roman"/>
          <w:sz w:val="24"/>
          <w:szCs w:val="24"/>
        </w:rPr>
        <w:t>have had a parent</w:t>
      </w:r>
      <w:r>
        <w:rPr>
          <w:rFonts w:ascii="Times New Roman" w:hAnsi="Times New Roman" w:cs="Times New Roman"/>
          <w:sz w:val="24"/>
          <w:szCs w:val="24"/>
        </w:rPr>
        <w:t xml:space="preserve"> in the Armed F</w:t>
      </w:r>
      <w:r w:rsidR="00430B12">
        <w:rPr>
          <w:rFonts w:ascii="Times New Roman" w:hAnsi="Times New Roman" w:cs="Times New Roman"/>
          <w:sz w:val="24"/>
          <w:szCs w:val="24"/>
        </w:rPr>
        <w:t>orces anytime in the last 6 years (Ever6</w:t>
      </w:r>
      <w:r w:rsidRPr="00ED562C">
        <w:rPr>
          <w:rFonts w:ascii="Times New Roman" w:hAnsi="Times New Roman" w:cs="Times New Roman"/>
          <w:sz w:val="24"/>
          <w:szCs w:val="24"/>
        </w:rPr>
        <w:t>)</w:t>
      </w:r>
    </w:p>
    <w:p w:rsidR="00767200" w:rsidRPr="00ED562C" w:rsidRDefault="00767200" w:rsidP="007672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has</w:t>
      </w:r>
      <w:r w:rsidRPr="00ED562C">
        <w:rPr>
          <w:rFonts w:ascii="Times New Roman" w:hAnsi="Times New Roman" w:cs="Times New Roman"/>
          <w:sz w:val="24"/>
          <w:szCs w:val="24"/>
        </w:rPr>
        <w:t xml:space="preserve"> been adopted from care</w:t>
      </w:r>
      <w:r>
        <w:rPr>
          <w:rFonts w:ascii="Times New Roman" w:hAnsi="Times New Roman" w:cs="Times New Roman"/>
          <w:sz w:val="24"/>
          <w:szCs w:val="24"/>
        </w:rPr>
        <w:t xml:space="preserve"> or is a l</w:t>
      </w:r>
      <w:r w:rsidRPr="00ED562C">
        <w:rPr>
          <w:rFonts w:ascii="Times New Roman" w:hAnsi="Times New Roman" w:cs="Times New Roman"/>
          <w:sz w:val="24"/>
          <w:szCs w:val="24"/>
        </w:rPr>
        <w:t>ooked</w:t>
      </w:r>
      <w:r>
        <w:rPr>
          <w:rFonts w:ascii="Times New Roman" w:hAnsi="Times New Roman" w:cs="Times New Roman"/>
          <w:sz w:val="24"/>
          <w:szCs w:val="24"/>
        </w:rPr>
        <w:t>-</w:t>
      </w:r>
      <w:r w:rsidRPr="00ED562C">
        <w:rPr>
          <w:rFonts w:ascii="Times New Roman" w:hAnsi="Times New Roman" w:cs="Times New Roman"/>
          <w:sz w:val="24"/>
          <w:szCs w:val="24"/>
        </w:rPr>
        <w:t>after child</w:t>
      </w:r>
    </w:p>
    <w:p w:rsidR="00767200" w:rsidRPr="00ED562C" w:rsidRDefault="00767200" w:rsidP="00767200">
      <w:pPr>
        <w:pStyle w:val="NoSpacing"/>
        <w:rPr>
          <w:rFonts w:ascii="Times New Roman" w:hAnsi="Times New Roman" w:cs="Times New Roman"/>
          <w:sz w:val="24"/>
          <w:szCs w:val="24"/>
        </w:rPr>
      </w:pPr>
    </w:p>
    <w:p w:rsidR="00767200" w:rsidRPr="00ED562C" w:rsidRDefault="00767200" w:rsidP="00767200">
      <w:pPr>
        <w:pStyle w:val="NoSpacing"/>
        <w:rPr>
          <w:rFonts w:ascii="Times New Roman" w:hAnsi="Times New Roman" w:cs="Times New Roman"/>
          <w:sz w:val="24"/>
          <w:szCs w:val="24"/>
        </w:rPr>
      </w:pPr>
      <w:r w:rsidRPr="00ED562C">
        <w:rPr>
          <w:rFonts w:ascii="Times New Roman" w:hAnsi="Times New Roman" w:cs="Times New Roman"/>
          <w:sz w:val="24"/>
          <w:szCs w:val="24"/>
        </w:rPr>
        <w:t>This funding is then received for these specific children from the following April. However the list of children is not confirmed until mid-August, when adjustments may occ</w:t>
      </w:r>
      <w:r w:rsidR="00430B12">
        <w:rPr>
          <w:rFonts w:ascii="Times New Roman" w:hAnsi="Times New Roman" w:cs="Times New Roman"/>
          <w:sz w:val="24"/>
          <w:szCs w:val="24"/>
        </w:rPr>
        <w:t xml:space="preserve">ur. The funding is paid in </w:t>
      </w:r>
      <w:r w:rsidRPr="00ED562C">
        <w:rPr>
          <w:rFonts w:ascii="Times New Roman" w:hAnsi="Times New Roman" w:cs="Times New Roman"/>
          <w:sz w:val="24"/>
          <w:szCs w:val="24"/>
        </w:rPr>
        <w:t>instalments throughout the financial year.</w:t>
      </w:r>
    </w:p>
    <w:p w:rsidR="00767200" w:rsidRPr="00ED562C" w:rsidRDefault="00767200" w:rsidP="00767200">
      <w:pPr>
        <w:pStyle w:val="NoSpacing"/>
        <w:rPr>
          <w:rFonts w:ascii="Times New Roman" w:hAnsi="Times New Roman" w:cs="Times New Roman"/>
          <w:sz w:val="24"/>
          <w:szCs w:val="24"/>
        </w:rPr>
      </w:pPr>
    </w:p>
    <w:p w:rsidR="00767200" w:rsidRPr="00ED562C" w:rsidRDefault="00767200" w:rsidP="00767200">
      <w:pPr>
        <w:pStyle w:val="NoSpacing"/>
        <w:rPr>
          <w:rFonts w:ascii="Times New Roman" w:hAnsi="Times New Roman" w:cs="Times New Roman"/>
          <w:sz w:val="24"/>
          <w:szCs w:val="24"/>
        </w:rPr>
      </w:pPr>
      <w:r w:rsidRPr="00ED562C">
        <w:rPr>
          <w:rFonts w:ascii="Times New Roman" w:hAnsi="Times New Roman" w:cs="Times New Roman"/>
          <w:sz w:val="24"/>
          <w:szCs w:val="24"/>
        </w:rPr>
        <w:t xml:space="preserve">The current payment </w:t>
      </w:r>
      <w:r w:rsidR="00E560F2">
        <w:rPr>
          <w:rFonts w:ascii="Times New Roman" w:hAnsi="Times New Roman" w:cs="Times New Roman"/>
          <w:sz w:val="24"/>
          <w:szCs w:val="24"/>
        </w:rPr>
        <w:t>for children who receive FSM (and</w:t>
      </w:r>
      <w:r w:rsidRPr="00ED562C">
        <w:rPr>
          <w:rFonts w:ascii="Times New Roman" w:hAnsi="Times New Roman" w:cs="Times New Roman"/>
          <w:sz w:val="24"/>
          <w:szCs w:val="24"/>
        </w:rPr>
        <w:t xml:space="preserve"> Ever6 children) is £1320 whereas the payment for a Service Child is £300.</w:t>
      </w:r>
      <w:r>
        <w:rPr>
          <w:rFonts w:ascii="Times New Roman" w:hAnsi="Times New Roman" w:cs="Times New Roman"/>
          <w:sz w:val="24"/>
          <w:szCs w:val="24"/>
        </w:rPr>
        <w:t xml:space="preserve"> A child who</w:t>
      </w:r>
      <w:r w:rsidRPr="00ED562C">
        <w:rPr>
          <w:rFonts w:ascii="Times New Roman" w:hAnsi="Times New Roman" w:cs="Times New Roman"/>
          <w:sz w:val="24"/>
          <w:szCs w:val="24"/>
        </w:rPr>
        <w:t xml:space="preserve"> has been adopted </w:t>
      </w:r>
      <w:r w:rsidR="00430B12">
        <w:rPr>
          <w:rFonts w:ascii="Times New Roman" w:hAnsi="Times New Roman" w:cs="Times New Roman"/>
          <w:sz w:val="24"/>
          <w:szCs w:val="24"/>
        </w:rPr>
        <w:t>“</w:t>
      </w:r>
      <w:r w:rsidRPr="00ED562C">
        <w:rPr>
          <w:rFonts w:ascii="Times New Roman" w:hAnsi="Times New Roman" w:cs="Times New Roman"/>
          <w:sz w:val="24"/>
          <w:szCs w:val="24"/>
        </w:rPr>
        <w:t>receives</w:t>
      </w:r>
      <w:r w:rsidR="00430B12">
        <w:rPr>
          <w:rFonts w:ascii="Times New Roman" w:hAnsi="Times New Roman" w:cs="Times New Roman"/>
          <w:sz w:val="24"/>
          <w:szCs w:val="24"/>
        </w:rPr>
        <w:t>”</w:t>
      </w:r>
      <w:r w:rsidRPr="00ED562C">
        <w:rPr>
          <w:rFonts w:ascii="Times New Roman" w:hAnsi="Times New Roman" w:cs="Times New Roman"/>
          <w:sz w:val="24"/>
          <w:szCs w:val="24"/>
        </w:rPr>
        <w:t xml:space="preserve"> £1900.</w:t>
      </w:r>
    </w:p>
    <w:p w:rsidR="00767200" w:rsidRPr="00ED562C" w:rsidRDefault="00767200" w:rsidP="00767200">
      <w:pPr>
        <w:pStyle w:val="NoSpacing"/>
        <w:rPr>
          <w:rFonts w:ascii="Times New Roman" w:hAnsi="Times New Roman" w:cs="Times New Roman"/>
          <w:sz w:val="24"/>
          <w:szCs w:val="24"/>
        </w:rPr>
      </w:pPr>
    </w:p>
    <w:p w:rsidR="00767200" w:rsidRPr="00ED562C" w:rsidRDefault="00767200" w:rsidP="00767200">
      <w:pPr>
        <w:pStyle w:val="NoSpacing"/>
        <w:rPr>
          <w:rFonts w:ascii="Times New Roman" w:hAnsi="Times New Roman" w:cs="Times New Roman"/>
          <w:sz w:val="24"/>
          <w:szCs w:val="24"/>
        </w:rPr>
      </w:pPr>
      <w:r w:rsidRPr="00ED562C">
        <w:rPr>
          <w:rFonts w:ascii="Times New Roman" w:hAnsi="Times New Roman" w:cs="Times New Roman"/>
          <w:sz w:val="24"/>
          <w:szCs w:val="24"/>
        </w:rPr>
        <w:t>The Pupil Premium payments are not automatic – for example a parent must declare their child’s service status before January 21</w:t>
      </w:r>
      <w:r w:rsidRPr="00ED562C">
        <w:rPr>
          <w:rFonts w:ascii="Times New Roman" w:hAnsi="Times New Roman" w:cs="Times New Roman"/>
          <w:sz w:val="24"/>
          <w:szCs w:val="24"/>
          <w:vertAlign w:val="superscript"/>
        </w:rPr>
        <w:t>st</w:t>
      </w:r>
      <w:r w:rsidRPr="00ED562C">
        <w:rPr>
          <w:rFonts w:ascii="Times New Roman" w:hAnsi="Times New Roman" w:cs="Times New Roman"/>
          <w:sz w:val="24"/>
          <w:szCs w:val="24"/>
        </w:rPr>
        <w:t xml:space="preserve"> to receive funding in April</w:t>
      </w:r>
      <w:r w:rsidR="00430B12">
        <w:rPr>
          <w:rFonts w:ascii="Times New Roman" w:hAnsi="Times New Roman" w:cs="Times New Roman"/>
          <w:sz w:val="24"/>
          <w:szCs w:val="24"/>
        </w:rPr>
        <w:t xml:space="preserve"> of the same year</w:t>
      </w:r>
      <w:r w:rsidRPr="00ED562C">
        <w:rPr>
          <w:rFonts w:ascii="Times New Roman" w:hAnsi="Times New Roman" w:cs="Times New Roman"/>
          <w:sz w:val="24"/>
          <w:szCs w:val="24"/>
        </w:rPr>
        <w:t>. However</w:t>
      </w:r>
      <w:r>
        <w:rPr>
          <w:rFonts w:ascii="Times New Roman" w:hAnsi="Times New Roman" w:cs="Times New Roman"/>
          <w:sz w:val="24"/>
          <w:szCs w:val="24"/>
        </w:rPr>
        <w:t>,</w:t>
      </w:r>
      <w:r w:rsidRPr="00ED562C">
        <w:rPr>
          <w:rFonts w:ascii="Times New Roman" w:hAnsi="Times New Roman" w:cs="Times New Roman"/>
          <w:sz w:val="24"/>
          <w:szCs w:val="24"/>
        </w:rPr>
        <w:t xml:space="preserve"> the parent does not have to re-declare the child’s status every year. The same process applies to looked-after or adopted children.</w:t>
      </w:r>
    </w:p>
    <w:p w:rsidR="00767200" w:rsidRPr="00ED562C" w:rsidRDefault="00767200" w:rsidP="00767200">
      <w:pPr>
        <w:pStyle w:val="NoSpacing"/>
        <w:rPr>
          <w:rFonts w:ascii="Times New Roman" w:hAnsi="Times New Roman" w:cs="Times New Roman"/>
          <w:sz w:val="24"/>
          <w:szCs w:val="24"/>
        </w:rPr>
      </w:pPr>
    </w:p>
    <w:p w:rsidR="00767200" w:rsidRPr="00ED562C" w:rsidRDefault="00767200" w:rsidP="00767200">
      <w:pPr>
        <w:rPr>
          <w:rFonts w:ascii="Times New Roman" w:hAnsi="Times New Roman" w:cs="Times New Roman"/>
          <w:sz w:val="24"/>
          <w:szCs w:val="24"/>
        </w:rPr>
      </w:pPr>
      <w:r w:rsidRPr="00ED562C">
        <w:rPr>
          <w:rFonts w:ascii="Times New Roman" w:hAnsi="Times New Roman" w:cs="Times New Roman"/>
          <w:sz w:val="24"/>
          <w:szCs w:val="24"/>
        </w:rPr>
        <w:t>Because of how and when the funding is calculated, a child starting in Early Years in September will not receive any funding until 8 months later, in the following April.</w:t>
      </w:r>
    </w:p>
    <w:p w:rsidR="00767200" w:rsidRPr="00ED562C" w:rsidRDefault="00767200" w:rsidP="00767200">
      <w:pPr>
        <w:rPr>
          <w:rFonts w:ascii="Times New Roman" w:hAnsi="Times New Roman" w:cs="Times New Roman"/>
          <w:sz w:val="24"/>
          <w:szCs w:val="24"/>
        </w:rPr>
      </w:pPr>
      <w:r w:rsidRPr="00ED562C">
        <w:rPr>
          <w:rFonts w:ascii="Times New Roman" w:hAnsi="Times New Roman" w:cs="Times New Roman"/>
          <w:sz w:val="24"/>
          <w:szCs w:val="24"/>
        </w:rPr>
        <w:t xml:space="preserve">Conversely, the funding (from September to April) for a year 6 child remains with the primary school even though the child will have moved to a new school in year 7. </w:t>
      </w:r>
    </w:p>
    <w:p w:rsidR="00767200" w:rsidRPr="00ED562C" w:rsidRDefault="00E560F2" w:rsidP="00767200">
      <w:pPr>
        <w:rPr>
          <w:rFonts w:ascii="Times New Roman" w:hAnsi="Times New Roman" w:cs="Times New Roman"/>
          <w:sz w:val="24"/>
          <w:szCs w:val="24"/>
        </w:rPr>
      </w:pPr>
      <w:r>
        <w:rPr>
          <w:rFonts w:ascii="Times New Roman" w:hAnsi="Times New Roman" w:cs="Times New Roman"/>
          <w:sz w:val="24"/>
          <w:szCs w:val="24"/>
        </w:rPr>
        <w:t xml:space="preserve">See attached “diagram” for diagrammatic representation of the differences in the dates of the “census” year, the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year and the School year.</w:t>
      </w:r>
    </w:p>
    <w:p w:rsidR="00767200" w:rsidRPr="00ED562C" w:rsidRDefault="00767200" w:rsidP="00767200">
      <w:pPr>
        <w:rPr>
          <w:rFonts w:ascii="Times New Roman" w:hAnsi="Times New Roman" w:cs="Times New Roman"/>
          <w:sz w:val="24"/>
          <w:szCs w:val="24"/>
        </w:rPr>
      </w:pPr>
      <w:r w:rsidRPr="00ED562C">
        <w:rPr>
          <w:rFonts w:ascii="Times New Roman" w:hAnsi="Times New Roman" w:cs="Times New Roman"/>
          <w:sz w:val="24"/>
          <w:szCs w:val="24"/>
        </w:rPr>
        <w:t xml:space="preserve">Theoretically the “lack” of funding in Early Years </w:t>
      </w:r>
      <w:r w:rsidR="00E560F2">
        <w:rPr>
          <w:rFonts w:ascii="Times New Roman" w:hAnsi="Times New Roman" w:cs="Times New Roman"/>
          <w:sz w:val="24"/>
          <w:szCs w:val="24"/>
        </w:rPr>
        <w:t>may</w:t>
      </w:r>
      <w:r w:rsidRPr="00ED562C">
        <w:rPr>
          <w:rFonts w:ascii="Times New Roman" w:hAnsi="Times New Roman" w:cs="Times New Roman"/>
          <w:sz w:val="24"/>
          <w:szCs w:val="24"/>
        </w:rPr>
        <w:t xml:space="preserve"> be balanced out by the funding received by the Year 6 pupils that have left. However, in reality this “funding difference” could </w:t>
      </w:r>
      <w:r w:rsidR="00430B12">
        <w:rPr>
          <w:rFonts w:ascii="Times New Roman" w:hAnsi="Times New Roman" w:cs="Times New Roman"/>
          <w:sz w:val="24"/>
          <w:szCs w:val="24"/>
        </w:rPr>
        <w:t xml:space="preserve">also </w:t>
      </w:r>
      <w:r w:rsidRPr="00ED562C">
        <w:rPr>
          <w:rFonts w:ascii="Times New Roman" w:hAnsi="Times New Roman" w:cs="Times New Roman"/>
          <w:sz w:val="24"/>
          <w:szCs w:val="24"/>
        </w:rPr>
        <w:t xml:space="preserve">be </w:t>
      </w:r>
      <w:r w:rsidR="00430B12">
        <w:rPr>
          <w:rFonts w:ascii="Times New Roman" w:hAnsi="Times New Roman" w:cs="Times New Roman"/>
          <w:sz w:val="24"/>
          <w:szCs w:val="24"/>
        </w:rPr>
        <w:t>to a schools detriment, if more children who are entitled to Pupil Premium funds join the school (in Early Years) then the number of Year 6 children who move on to Secondary school.</w:t>
      </w:r>
    </w:p>
    <w:p w:rsidR="00767200" w:rsidRDefault="00767200" w:rsidP="00767200"/>
    <w:p w:rsidR="00767200" w:rsidRDefault="00767200" w:rsidP="00767200"/>
    <w:p w:rsidR="00767200" w:rsidRDefault="00767200" w:rsidP="00767200"/>
    <w:p w:rsidR="00767200" w:rsidRDefault="00767200" w:rsidP="00767200"/>
    <w:p w:rsidR="00767200" w:rsidRDefault="00767200" w:rsidP="00767200"/>
    <w:p w:rsidR="00767200" w:rsidRDefault="00767200" w:rsidP="00767200"/>
    <w:p w:rsidR="00767200" w:rsidRPr="00BA3A69" w:rsidRDefault="00767200" w:rsidP="00767200">
      <w:pPr>
        <w:rPr>
          <w:rFonts w:ascii="Times New Roman" w:hAnsi="Times New Roman" w:cs="Times New Roman"/>
          <w:b/>
          <w:sz w:val="28"/>
          <w:szCs w:val="28"/>
          <w:u w:val="single"/>
        </w:rPr>
      </w:pPr>
      <w:r w:rsidRPr="00BA3A69">
        <w:rPr>
          <w:rFonts w:ascii="Times New Roman" w:hAnsi="Times New Roman" w:cs="Times New Roman"/>
          <w:b/>
          <w:sz w:val="28"/>
          <w:szCs w:val="28"/>
          <w:u w:val="single"/>
        </w:rPr>
        <w:t>Deprivation Pupil Premium</w:t>
      </w:r>
    </w:p>
    <w:p w:rsidR="00767200" w:rsidRPr="00BA3A69" w:rsidRDefault="00767200" w:rsidP="00767200">
      <w:pPr>
        <w:rPr>
          <w:rFonts w:ascii="Times New Roman" w:hAnsi="Times New Roman" w:cs="Times New Roman"/>
          <w:sz w:val="24"/>
          <w:szCs w:val="24"/>
        </w:rPr>
      </w:pPr>
      <w:r w:rsidRPr="00BA3A69">
        <w:rPr>
          <w:rFonts w:ascii="Times New Roman" w:hAnsi="Times New Roman" w:cs="Times New Roman"/>
          <w:sz w:val="24"/>
          <w:szCs w:val="24"/>
        </w:rPr>
        <w:t>The deprivation premium is the premium paid for children who are, or have been, registered as eligible for free school meals at any point in the last 6 years</w:t>
      </w:r>
    </w:p>
    <w:p w:rsidR="00767200" w:rsidRPr="00BA3A69" w:rsidRDefault="00767200" w:rsidP="00767200">
      <w:pPr>
        <w:rPr>
          <w:rFonts w:ascii="Times New Roman" w:hAnsi="Times New Roman" w:cs="Times New Roman"/>
          <w:sz w:val="24"/>
          <w:szCs w:val="24"/>
        </w:rPr>
      </w:pPr>
      <w:r w:rsidRPr="00BA3A69">
        <w:rPr>
          <w:rFonts w:ascii="Times New Roman" w:hAnsi="Times New Roman" w:cs="Times New Roman"/>
          <w:sz w:val="24"/>
          <w:szCs w:val="24"/>
        </w:rPr>
        <w:t xml:space="preserve">This premium is </w:t>
      </w:r>
      <w:r w:rsidRPr="00BA3A69">
        <w:rPr>
          <w:rFonts w:ascii="Times New Roman" w:hAnsi="Times New Roman" w:cs="Times New Roman"/>
          <w:i/>
          <w:sz w:val="24"/>
          <w:szCs w:val="24"/>
        </w:rPr>
        <w:t>“additional funding to raise the attainment of disadvantaged</w:t>
      </w:r>
      <w:r w:rsidRPr="00BA3A69">
        <w:rPr>
          <w:rFonts w:ascii="Times New Roman" w:hAnsi="Times New Roman" w:cs="Times New Roman"/>
          <w:sz w:val="24"/>
          <w:szCs w:val="24"/>
        </w:rPr>
        <w:t xml:space="preserve"> </w:t>
      </w:r>
      <w:r w:rsidRPr="00BA3A69">
        <w:rPr>
          <w:rFonts w:ascii="Times New Roman" w:hAnsi="Times New Roman" w:cs="Times New Roman"/>
          <w:i/>
          <w:sz w:val="24"/>
          <w:szCs w:val="24"/>
        </w:rPr>
        <w:t>pupils of all abilities and to close the gaps between them and their peers.”</w:t>
      </w:r>
      <w:r w:rsidRPr="00BA3A69">
        <w:rPr>
          <w:rFonts w:ascii="Times New Roman" w:hAnsi="Times New Roman" w:cs="Times New Roman"/>
          <w:sz w:val="24"/>
          <w:szCs w:val="24"/>
        </w:rPr>
        <w:t xml:space="preserve"> The school currently receives £1320 per year for each of these children.</w:t>
      </w:r>
    </w:p>
    <w:p w:rsidR="00767200" w:rsidRPr="00BA3A69" w:rsidRDefault="00767200" w:rsidP="00767200">
      <w:pPr>
        <w:pStyle w:val="NoSpacing"/>
        <w:rPr>
          <w:rFonts w:ascii="Times New Roman" w:hAnsi="Times New Roman" w:cs="Times New Roman"/>
          <w:sz w:val="24"/>
          <w:szCs w:val="24"/>
        </w:rPr>
      </w:pPr>
      <w:r w:rsidRPr="00BA3A69">
        <w:rPr>
          <w:rFonts w:ascii="Times New Roman" w:hAnsi="Times New Roman" w:cs="Times New Roman"/>
          <w:sz w:val="24"/>
          <w:szCs w:val="24"/>
        </w:rPr>
        <w:t xml:space="preserve">There are 31 children who fall into this category from 24 different families. </w:t>
      </w:r>
    </w:p>
    <w:p w:rsidR="00767200" w:rsidRPr="00BA3A69" w:rsidRDefault="00767200" w:rsidP="00767200">
      <w:pPr>
        <w:pStyle w:val="NoSpacing"/>
        <w:rPr>
          <w:rFonts w:ascii="Times New Roman" w:hAnsi="Times New Roman" w:cs="Times New Roman"/>
          <w:sz w:val="24"/>
          <w:szCs w:val="24"/>
        </w:rPr>
      </w:pPr>
      <w:r w:rsidRPr="00BA3A69">
        <w:rPr>
          <w:rFonts w:ascii="Times New Roman" w:hAnsi="Times New Roman" w:cs="Times New Roman"/>
          <w:sz w:val="24"/>
          <w:szCs w:val="24"/>
        </w:rPr>
        <w:t>12 of the children currently receive FSMs and 19 are Ever6 children.</w:t>
      </w:r>
    </w:p>
    <w:p w:rsidR="00767200" w:rsidRDefault="00767200" w:rsidP="00767200">
      <w:pPr>
        <w:pStyle w:val="NoSpacing"/>
        <w:rPr>
          <w:rFonts w:ascii="Times New Roman" w:hAnsi="Times New Roman" w:cs="Times New Roman"/>
          <w:sz w:val="28"/>
          <w:szCs w:val="28"/>
        </w:rPr>
      </w:pPr>
    </w:p>
    <w:p w:rsidR="00767200" w:rsidRPr="005F4F80" w:rsidRDefault="00767200" w:rsidP="00767200">
      <w:pPr>
        <w:pStyle w:val="NoSpacing"/>
        <w:rPr>
          <w:rFonts w:ascii="Times New Roman" w:hAnsi="Times New Roman" w:cs="Times New Roman"/>
          <w:i/>
          <w:sz w:val="24"/>
          <w:szCs w:val="24"/>
        </w:rPr>
      </w:pPr>
      <w:r w:rsidRPr="005F4F80">
        <w:rPr>
          <w:rFonts w:ascii="Times New Roman" w:hAnsi="Times New Roman" w:cs="Times New Roman"/>
          <w:i/>
          <w:sz w:val="24"/>
          <w:szCs w:val="24"/>
        </w:rPr>
        <w:t>The split of childr</w:t>
      </w:r>
      <w:r>
        <w:rPr>
          <w:rFonts w:ascii="Times New Roman" w:hAnsi="Times New Roman" w:cs="Times New Roman"/>
          <w:i/>
          <w:sz w:val="24"/>
          <w:szCs w:val="24"/>
        </w:rPr>
        <w:t>en over the seven year groups is</w:t>
      </w:r>
      <w:r w:rsidRPr="005F4F80">
        <w:rPr>
          <w:rFonts w:ascii="Times New Roman" w:hAnsi="Times New Roman" w:cs="Times New Roman"/>
          <w:i/>
          <w:sz w:val="24"/>
          <w:szCs w:val="24"/>
        </w:rPr>
        <w:t xml:space="preserve"> as follows:</w:t>
      </w:r>
    </w:p>
    <w:p w:rsidR="00767200" w:rsidRPr="007722B9" w:rsidRDefault="00767200" w:rsidP="00767200">
      <w:pPr>
        <w:jc w:val="center"/>
        <w:rPr>
          <w:rFonts w:ascii="Times New Roman" w:hAnsi="Times New Roman" w:cs="Times New Roman"/>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1908"/>
        <w:gridCol w:w="1930"/>
      </w:tblGrid>
      <w:tr w:rsidR="00767200" w:rsidRPr="009B28E2" w:rsidTr="00D127FE">
        <w:tc>
          <w:tcPr>
            <w:tcW w:w="1908" w:type="dxa"/>
          </w:tcPr>
          <w:p w:rsidR="00767200" w:rsidRPr="009B28E2" w:rsidRDefault="00767200" w:rsidP="00D127FE">
            <w:pPr>
              <w:jc w:val="center"/>
              <w:rPr>
                <w:rFonts w:ascii="Times New Roman" w:hAnsi="Times New Roman" w:cs="Times New Roman"/>
                <w:b/>
                <w:sz w:val="24"/>
                <w:szCs w:val="24"/>
              </w:rPr>
            </w:pPr>
            <w:r w:rsidRPr="009B28E2">
              <w:rPr>
                <w:rFonts w:ascii="Times New Roman" w:hAnsi="Times New Roman" w:cs="Times New Roman"/>
                <w:b/>
                <w:sz w:val="24"/>
                <w:szCs w:val="24"/>
              </w:rPr>
              <w:t>Year Group</w:t>
            </w:r>
          </w:p>
        </w:tc>
        <w:tc>
          <w:tcPr>
            <w:tcW w:w="1930" w:type="dxa"/>
          </w:tcPr>
          <w:p w:rsidR="00767200" w:rsidRPr="009B28E2" w:rsidRDefault="00767200" w:rsidP="00D127FE">
            <w:pPr>
              <w:jc w:val="center"/>
              <w:rPr>
                <w:rFonts w:ascii="Times New Roman" w:hAnsi="Times New Roman" w:cs="Times New Roman"/>
                <w:b/>
                <w:sz w:val="24"/>
                <w:szCs w:val="24"/>
              </w:rPr>
            </w:pPr>
            <w:r w:rsidRPr="009B28E2">
              <w:rPr>
                <w:rFonts w:ascii="Times New Roman" w:hAnsi="Times New Roman" w:cs="Times New Roman"/>
                <w:b/>
                <w:sz w:val="24"/>
                <w:szCs w:val="24"/>
              </w:rPr>
              <w:t>No. of Children</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Early Years</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5</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1</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2</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2</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4</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3</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8</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4</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4</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5</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4</w:t>
            </w:r>
          </w:p>
        </w:tc>
      </w:tr>
      <w:tr w:rsidR="00767200" w:rsidRPr="009B28E2" w:rsidTr="00D127FE">
        <w:tc>
          <w:tcPr>
            <w:tcW w:w="1908"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6</w:t>
            </w:r>
          </w:p>
        </w:tc>
        <w:tc>
          <w:tcPr>
            <w:tcW w:w="1930" w:type="dxa"/>
          </w:tcPr>
          <w:p w:rsidR="00767200" w:rsidRPr="009B28E2" w:rsidRDefault="00767200" w:rsidP="00D127FE">
            <w:pPr>
              <w:jc w:val="center"/>
              <w:rPr>
                <w:rFonts w:ascii="Times New Roman" w:hAnsi="Times New Roman" w:cs="Times New Roman"/>
                <w:sz w:val="24"/>
                <w:szCs w:val="24"/>
              </w:rPr>
            </w:pPr>
            <w:r w:rsidRPr="009B28E2">
              <w:rPr>
                <w:rFonts w:ascii="Times New Roman" w:hAnsi="Times New Roman" w:cs="Times New Roman"/>
                <w:sz w:val="24"/>
                <w:szCs w:val="24"/>
              </w:rPr>
              <w:t>4</w:t>
            </w:r>
          </w:p>
        </w:tc>
      </w:tr>
      <w:tr w:rsidR="00767200" w:rsidRPr="009B28E2" w:rsidTr="00D127FE">
        <w:tc>
          <w:tcPr>
            <w:tcW w:w="1908" w:type="dxa"/>
          </w:tcPr>
          <w:p w:rsidR="00767200" w:rsidRPr="009B28E2" w:rsidRDefault="00767200" w:rsidP="00D127FE">
            <w:pPr>
              <w:jc w:val="center"/>
              <w:rPr>
                <w:rFonts w:ascii="Times New Roman" w:hAnsi="Times New Roman" w:cs="Times New Roman"/>
                <w:b/>
                <w:sz w:val="24"/>
                <w:szCs w:val="24"/>
              </w:rPr>
            </w:pPr>
            <w:r w:rsidRPr="009B28E2">
              <w:rPr>
                <w:rFonts w:ascii="Times New Roman" w:hAnsi="Times New Roman" w:cs="Times New Roman"/>
                <w:b/>
                <w:sz w:val="24"/>
                <w:szCs w:val="24"/>
              </w:rPr>
              <w:t>Total</w:t>
            </w:r>
          </w:p>
        </w:tc>
        <w:tc>
          <w:tcPr>
            <w:tcW w:w="1930" w:type="dxa"/>
          </w:tcPr>
          <w:p w:rsidR="00767200" w:rsidRPr="009B28E2" w:rsidRDefault="00767200" w:rsidP="00D127FE">
            <w:pPr>
              <w:jc w:val="center"/>
              <w:rPr>
                <w:rFonts w:ascii="Times New Roman" w:hAnsi="Times New Roman" w:cs="Times New Roman"/>
                <w:b/>
                <w:sz w:val="24"/>
                <w:szCs w:val="24"/>
              </w:rPr>
            </w:pPr>
            <w:r w:rsidRPr="009B28E2">
              <w:rPr>
                <w:rFonts w:ascii="Times New Roman" w:hAnsi="Times New Roman" w:cs="Times New Roman"/>
                <w:b/>
                <w:sz w:val="24"/>
                <w:szCs w:val="24"/>
              </w:rPr>
              <w:t>31</w:t>
            </w:r>
          </w:p>
        </w:tc>
      </w:tr>
    </w:tbl>
    <w:p w:rsidR="00767200" w:rsidRDefault="00767200" w:rsidP="00767200">
      <w:pPr>
        <w:jc w:val="center"/>
      </w:pPr>
      <w:r w:rsidRPr="009B28E2">
        <w:rPr>
          <w:rFonts w:ascii="Times New Roman" w:hAnsi="Times New Roman" w:cs="Times New Roman"/>
          <w:sz w:val="24"/>
          <w:szCs w:val="24"/>
        </w:rPr>
        <w:br w:type="textWrapping" w:clear="all"/>
      </w:r>
    </w:p>
    <w:p w:rsidR="00767200" w:rsidRDefault="00767200" w:rsidP="00767200">
      <w:pPr>
        <w:rPr>
          <w:rFonts w:ascii="Times New Roman" w:hAnsi="Times New Roman" w:cs="Times New Roman"/>
          <w:sz w:val="24"/>
          <w:szCs w:val="24"/>
        </w:rPr>
      </w:pPr>
      <w:r w:rsidRPr="009B28E2">
        <w:rPr>
          <w:rFonts w:ascii="Times New Roman" w:hAnsi="Times New Roman" w:cs="Times New Roman"/>
          <w:sz w:val="24"/>
          <w:szCs w:val="24"/>
        </w:rPr>
        <w:t xml:space="preserve">At St Oswalds, when </w:t>
      </w:r>
      <w:r w:rsidRPr="009B28E2">
        <w:rPr>
          <w:rFonts w:ascii="Times New Roman" w:hAnsi="Times New Roman" w:cs="Times New Roman"/>
          <w:b/>
          <w:sz w:val="24"/>
          <w:szCs w:val="24"/>
          <w:u w:val="single"/>
        </w:rPr>
        <w:t>ALL</w:t>
      </w:r>
      <w:r w:rsidRPr="009B28E2">
        <w:rPr>
          <w:rFonts w:ascii="Times New Roman" w:hAnsi="Times New Roman" w:cs="Times New Roman"/>
          <w:sz w:val="24"/>
          <w:szCs w:val="24"/>
        </w:rPr>
        <w:t xml:space="preserve"> the pupil premium children </w:t>
      </w:r>
      <w:r>
        <w:rPr>
          <w:rFonts w:ascii="Times New Roman" w:hAnsi="Times New Roman" w:cs="Times New Roman"/>
          <w:sz w:val="24"/>
          <w:szCs w:val="24"/>
        </w:rPr>
        <w:t>are t</w:t>
      </w:r>
      <w:r w:rsidRPr="009B28E2">
        <w:rPr>
          <w:rFonts w:ascii="Times New Roman" w:hAnsi="Times New Roman" w:cs="Times New Roman"/>
          <w:sz w:val="24"/>
          <w:szCs w:val="24"/>
        </w:rPr>
        <w:t xml:space="preserve">aken into account there is a significant </w:t>
      </w:r>
      <w:r w:rsidR="00430B12">
        <w:rPr>
          <w:rFonts w:ascii="Times New Roman" w:hAnsi="Times New Roman" w:cs="Times New Roman"/>
          <w:sz w:val="24"/>
          <w:szCs w:val="24"/>
        </w:rPr>
        <w:t>“</w:t>
      </w:r>
      <w:r>
        <w:rPr>
          <w:rFonts w:ascii="Times New Roman" w:hAnsi="Times New Roman" w:cs="Times New Roman"/>
          <w:sz w:val="24"/>
          <w:szCs w:val="24"/>
        </w:rPr>
        <w:t>imbalance</w:t>
      </w:r>
      <w:r w:rsidR="00430B12">
        <w:rPr>
          <w:rFonts w:ascii="Times New Roman" w:hAnsi="Times New Roman" w:cs="Times New Roman"/>
          <w:sz w:val="24"/>
          <w:szCs w:val="24"/>
        </w:rPr>
        <w:t>”</w:t>
      </w:r>
      <w:r>
        <w:rPr>
          <w:rFonts w:ascii="Times New Roman" w:hAnsi="Times New Roman" w:cs="Times New Roman"/>
          <w:sz w:val="24"/>
          <w:szCs w:val="24"/>
        </w:rPr>
        <w:t xml:space="preserve"> </w:t>
      </w:r>
      <w:r w:rsidRPr="009B28E2">
        <w:rPr>
          <w:rFonts w:ascii="Times New Roman" w:hAnsi="Times New Roman" w:cs="Times New Roman"/>
          <w:sz w:val="24"/>
          <w:szCs w:val="24"/>
        </w:rPr>
        <w:t xml:space="preserve">between the </w:t>
      </w:r>
      <w:r>
        <w:rPr>
          <w:rFonts w:ascii="Times New Roman" w:hAnsi="Times New Roman" w:cs="Times New Roman"/>
          <w:sz w:val="24"/>
          <w:szCs w:val="24"/>
        </w:rPr>
        <w:t>number of children and the amount of funding</w:t>
      </w:r>
      <w:r w:rsidRPr="009B28E2">
        <w:rPr>
          <w:rFonts w:ascii="Times New Roman" w:hAnsi="Times New Roman" w:cs="Times New Roman"/>
          <w:sz w:val="24"/>
          <w:szCs w:val="24"/>
        </w:rPr>
        <w:t xml:space="preserve">. This can be shown most easily on the </w:t>
      </w:r>
      <w:r>
        <w:rPr>
          <w:rFonts w:ascii="Times New Roman" w:hAnsi="Times New Roman" w:cs="Times New Roman"/>
          <w:sz w:val="24"/>
          <w:szCs w:val="24"/>
        </w:rPr>
        <w:t>t</w:t>
      </w:r>
      <w:r w:rsidRPr="009B28E2">
        <w:rPr>
          <w:rFonts w:ascii="Times New Roman" w:hAnsi="Times New Roman" w:cs="Times New Roman"/>
          <w:sz w:val="24"/>
          <w:szCs w:val="24"/>
        </w:rPr>
        <w:t>abl</w:t>
      </w:r>
      <w:r>
        <w:rPr>
          <w:rFonts w:ascii="Times New Roman" w:hAnsi="Times New Roman" w:cs="Times New Roman"/>
          <w:sz w:val="24"/>
          <w:szCs w:val="24"/>
        </w:rPr>
        <w:t>e</w:t>
      </w:r>
      <w:r w:rsidRPr="009B28E2">
        <w:rPr>
          <w:rFonts w:ascii="Times New Roman" w:hAnsi="Times New Roman" w:cs="Times New Roman"/>
          <w:sz w:val="24"/>
          <w:szCs w:val="24"/>
        </w:rPr>
        <w:t xml:space="preserve"> below:</w:t>
      </w:r>
    </w:p>
    <w:tbl>
      <w:tblPr>
        <w:tblStyle w:val="TableGrid"/>
        <w:tblW w:w="0" w:type="auto"/>
        <w:tblLook w:val="04A0" w:firstRow="1" w:lastRow="0" w:firstColumn="1" w:lastColumn="0" w:noHBand="0" w:noVBand="1"/>
      </w:tblPr>
      <w:tblGrid>
        <w:gridCol w:w="1848"/>
        <w:gridCol w:w="1848"/>
        <w:gridCol w:w="1848"/>
        <w:gridCol w:w="1849"/>
        <w:gridCol w:w="1849"/>
      </w:tblGrid>
      <w:tr w:rsidR="00767200" w:rsidRPr="00BA3A69" w:rsidTr="00D127FE">
        <w:tc>
          <w:tcPr>
            <w:tcW w:w="1848" w:type="dxa"/>
          </w:tcPr>
          <w:p w:rsidR="00767200" w:rsidRPr="00BA3A69" w:rsidRDefault="00767200" w:rsidP="00D127FE">
            <w:pPr>
              <w:rPr>
                <w:rFonts w:ascii="Times New Roman" w:hAnsi="Times New Roman" w:cs="Times New Roman"/>
                <w:b/>
              </w:rPr>
            </w:pPr>
          </w:p>
        </w:tc>
        <w:tc>
          <w:tcPr>
            <w:tcW w:w="1848" w:type="dxa"/>
            <w:shd w:val="clear" w:color="auto" w:fill="C6D9F1" w:themeFill="text2" w:themeFillTint="33"/>
          </w:tcPr>
          <w:p w:rsidR="00767200" w:rsidRPr="00BA3A69" w:rsidRDefault="00767200" w:rsidP="00D127FE">
            <w:pPr>
              <w:rPr>
                <w:rFonts w:ascii="Times New Roman" w:hAnsi="Times New Roman" w:cs="Times New Roman"/>
                <w:b/>
              </w:rPr>
            </w:pPr>
            <w:r w:rsidRPr="00BA3A69">
              <w:rPr>
                <w:rFonts w:ascii="Times New Roman" w:hAnsi="Times New Roman" w:cs="Times New Roman"/>
                <w:b/>
              </w:rPr>
              <w:t>No. of children</w:t>
            </w:r>
          </w:p>
        </w:tc>
        <w:tc>
          <w:tcPr>
            <w:tcW w:w="1848" w:type="dxa"/>
            <w:shd w:val="clear" w:color="auto" w:fill="C6D9F1" w:themeFill="text2" w:themeFillTint="33"/>
          </w:tcPr>
          <w:p w:rsidR="00767200" w:rsidRPr="00BA3A69" w:rsidRDefault="00767200" w:rsidP="00D127FE">
            <w:pPr>
              <w:rPr>
                <w:rFonts w:ascii="Times New Roman" w:hAnsi="Times New Roman" w:cs="Times New Roman"/>
                <w:b/>
              </w:rPr>
            </w:pPr>
            <w:r w:rsidRPr="00BA3A69">
              <w:rPr>
                <w:rFonts w:ascii="Times New Roman" w:hAnsi="Times New Roman" w:cs="Times New Roman"/>
                <w:b/>
              </w:rPr>
              <w:t>%</w:t>
            </w:r>
          </w:p>
        </w:tc>
        <w:tc>
          <w:tcPr>
            <w:tcW w:w="1849" w:type="dxa"/>
            <w:shd w:val="clear" w:color="auto" w:fill="FFFF99"/>
          </w:tcPr>
          <w:p w:rsidR="00767200" w:rsidRPr="00BA3A69" w:rsidRDefault="00767200" w:rsidP="00D127FE">
            <w:pPr>
              <w:rPr>
                <w:rFonts w:ascii="Times New Roman" w:hAnsi="Times New Roman" w:cs="Times New Roman"/>
                <w:b/>
              </w:rPr>
            </w:pPr>
            <w:r w:rsidRPr="00BA3A69">
              <w:rPr>
                <w:rFonts w:ascii="Times New Roman" w:hAnsi="Times New Roman" w:cs="Times New Roman"/>
                <w:b/>
              </w:rPr>
              <w:t>Funding</w:t>
            </w:r>
          </w:p>
        </w:tc>
        <w:tc>
          <w:tcPr>
            <w:tcW w:w="1849" w:type="dxa"/>
            <w:shd w:val="clear" w:color="auto" w:fill="FFFF99"/>
          </w:tcPr>
          <w:p w:rsidR="00767200" w:rsidRPr="00BA3A69" w:rsidRDefault="00767200" w:rsidP="00D127FE">
            <w:pPr>
              <w:rPr>
                <w:rFonts w:ascii="Times New Roman" w:hAnsi="Times New Roman" w:cs="Times New Roman"/>
                <w:b/>
              </w:rPr>
            </w:pPr>
            <w:r w:rsidRPr="00BA3A69">
              <w:rPr>
                <w:rFonts w:ascii="Times New Roman" w:hAnsi="Times New Roman" w:cs="Times New Roman"/>
                <w:b/>
              </w:rPr>
              <w:t>%</w:t>
            </w:r>
          </w:p>
        </w:tc>
      </w:tr>
      <w:tr w:rsidR="00767200" w:rsidRPr="00BA3A69" w:rsidTr="00D127FE">
        <w:tc>
          <w:tcPr>
            <w:tcW w:w="1848" w:type="dxa"/>
          </w:tcPr>
          <w:p w:rsidR="00767200" w:rsidRPr="00BA3A69" w:rsidRDefault="00767200" w:rsidP="00D127FE">
            <w:pPr>
              <w:rPr>
                <w:rFonts w:ascii="Times New Roman" w:hAnsi="Times New Roman" w:cs="Times New Roman"/>
                <w:b/>
              </w:rPr>
            </w:pPr>
            <w:r w:rsidRPr="00BA3A69">
              <w:rPr>
                <w:rFonts w:ascii="Times New Roman" w:hAnsi="Times New Roman" w:cs="Times New Roman"/>
                <w:b/>
              </w:rPr>
              <w:t>Service Premium</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61</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64</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18,300</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28</w:t>
            </w:r>
          </w:p>
        </w:tc>
      </w:tr>
      <w:tr w:rsidR="00767200" w:rsidRPr="00BA3A69" w:rsidTr="00D127FE">
        <w:tc>
          <w:tcPr>
            <w:tcW w:w="1848" w:type="dxa"/>
          </w:tcPr>
          <w:p w:rsidR="00767200" w:rsidRPr="00BA3A69" w:rsidRDefault="00767200" w:rsidP="00D127FE">
            <w:pPr>
              <w:rPr>
                <w:rFonts w:ascii="Times New Roman" w:hAnsi="Times New Roman" w:cs="Times New Roman"/>
                <w:b/>
              </w:rPr>
            </w:pPr>
            <w:r w:rsidRPr="00BA3A69">
              <w:rPr>
                <w:rFonts w:ascii="Times New Roman" w:hAnsi="Times New Roman" w:cs="Times New Roman"/>
                <w:b/>
              </w:rPr>
              <w:t>FSM Premium</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31</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33</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40,920</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63</w:t>
            </w:r>
          </w:p>
        </w:tc>
      </w:tr>
      <w:tr w:rsidR="00767200" w:rsidRPr="00BA3A69" w:rsidTr="00D127FE">
        <w:tc>
          <w:tcPr>
            <w:tcW w:w="1848" w:type="dxa"/>
          </w:tcPr>
          <w:p w:rsidR="00767200" w:rsidRPr="00BA3A69" w:rsidRDefault="00767200" w:rsidP="00D127FE">
            <w:pPr>
              <w:rPr>
                <w:rFonts w:ascii="Times New Roman" w:hAnsi="Times New Roman" w:cs="Times New Roman"/>
                <w:b/>
              </w:rPr>
            </w:pPr>
            <w:r w:rsidRPr="00BA3A69">
              <w:rPr>
                <w:rFonts w:ascii="Times New Roman" w:hAnsi="Times New Roman" w:cs="Times New Roman"/>
                <w:b/>
              </w:rPr>
              <w:t>Other</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3</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3</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 xml:space="preserve">  5,700</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9</w:t>
            </w:r>
          </w:p>
        </w:tc>
      </w:tr>
      <w:tr w:rsidR="00767200" w:rsidRPr="00BA3A69" w:rsidTr="00D127FE">
        <w:tc>
          <w:tcPr>
            <w:tcW w:w="1848" w:type="dxa"/>
          </w:tcPr>
          <w:p w:rsidR="00767200" w:rsidRPr="00BA3A69" w:rsidRDefault="00767200" w:rsidP="00D127FE">
            <w:pPr>
              <w:rPr>
                <w:rFonts w:ascii="Times New Roman" w:hAnsi="Times New Roman" w:cs="Times New Roman"/>
                <w:b/>
              </w:rPr>
            </w:pPr>
            <w:r w:rsidRPr="00BA3A69">
              <w:rPr>
                <w:rFonts w:ascii="Times New Roman" w:hAnsi="Times New Roman" w:cs="Times New Roman"/>
                <w:b/>
              </w:rPr>
              <w:t>Total</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95</w:t>
            </w:r>
          </w:p>
        </w:tc>
        <w:tc>
          <w:tcPr>
            <w:tcW w:w="1848" w:type="dxa"/>
            <w:shd w:val="clear" w:color="auto" w:fill="C6D9F1" w:themeFill="text2" w:themeFillTint="33"/>
          </w:tcPr>
          <w:p w:rsidR="00767200" w:rsidRPr="00BA3A69" w:rsidRDefault="00767200" w:rsidP="00D127FE">
            <w:pPr>
              <w:rPr>
                <w:rFonts w:ascii="Times New Roman" w:hAnsi="Times New Roman" w:cs="Times New Roman"/>
              </w:rPr>
            </w:pPr>
            <w:r w:rsidRPr="00BA3A69">
              <w:rPr>
                <w:rFonts w:ascii="Times New Roman" w:hAnsi="Times New Roman" w:cs="Times New Roman"/>
              </w:rPr>
              <w:t>100%</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64,920</w:t>
            </w:r>
          </w:p>
        </w:tc>
        <w:tc>
          <w:tcPr>
            <w:tcW w:w="1849" w:type="dxa"/>
            <w:shd w:val="clear" w:color="auto" w:fill="FFFF99"/>
          </w:tcPr>
          <w:p w:rsidR="00767200" w:rsidRPr="00BA3A69" w:rsidRDefault="00767200" w:rsidP="00D127FE">
            <w:pPr>
              <w:rPr>
                <w:rFonts w:ascii="Times New Roman" w:hAnsi="Times New Roman" w:cs="Times New Roman"/>
              </w:rPr>
            </w:pPr>
            <w:r w:rsidRPr="00BA3A69">
              <w:rPr>
                <w:rFonts w:ascii="Times New Roman" w:hAnsi="Times New Roman" w:cs="Times New Roman"/>
              </w:rPr>
              <w:t>100%</w:t>
            </w:r>
          </w:p>
        </w:tc>
      </w:tr>
    </w:tbl>
    <w:p w:rsidR="00767200" w:rsidRDefault="00767200" w:rsidP="00767200">
      <w:pPr>
        <w:rPr>
          <w:rFonts w:ascii="Times New Roman" w:hAnsi="Times New Roman" w:cs="Times New Roman"/>
        </w:rPr>
      </w:pPr>
    </w:p>
    <w:p w:rsidR="00767200" w:rsidRPr="007722B9" w:rsidRDefault="00767200" w:rsidP="00767200">
      <w:pPr>
        <w:rPr>
          <w:rFonts w:ascii="Times New Roman" w:hAnsi="Times New Roman" w:cs="Times New Roman"/>
          <w:sz w:val="24"/>
          <w:szCs w:val="24"/>
        </w:rPr>
      </w:pPr>
      <w:r w:rsidRPr="007722B9">
        <w:rPr>
          <w:rFonts w:ascii="Times New Roman" w:hAnsi="Times New Roman" w:cs="Times New Roman"/>
          <w:sz w:val="24"/>
          <w:szCs w:val="24"/>
        </w:rPr>
        <w:t>Although the number of children receiving the Deprivation (FSM) Premium is almost half that of those receiving the Service Premium, the amount of funding that they receive is more than double.</w:t>
      </w:r>
    </w:p>
    <w:p w:rsidR="00767200" w:rsidRPr="007722B9" w:rsidRDefault="00767200" w:rsidP="00767200">
      <w:pPr>
        <w:rPr>
          <w:rFonts w:ascii="Times New Roman" w:hAnsi="Times New Roman" w:cs="Times New Roman"/>
          <w:sz w:val="24"/>
          <w:szCs w:val="24"/>
        </w:rPr>
      </w:pPr>
      <w:r w:rsidRPr="007722B9">
        <w:rPr>
          <w:rFonts w:ascii="Times New Roman" w:hAnsi="Times New Roman" w:cs="Times New Roman"/>
          <w:sz w:val="24"/>
          <w:szCs w:val="24"/>
        </w:rPr>
        <w:t>This gives rise to a number of questions:</w:t>
      </w:r>
    </w:p>
    <w:p w:rsidR="00767200" w:rsidRDefault="00767200" w:rsidP="007672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 attainment of these disadvantaged children being raised?</w:t>
      </w:r>
    </w:p>
    <w:p w:rsidR="00767200" w:rsidRPr="007722B9" w:rsidRDefault="00767200" w:rsidP="007672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Are the gaps </w:t>
      </w:r>
      <w:r w:rsidRPr="007722B9">
        <w:rPr>
          <w:rFonts w:ascii="Times New Roman" w:hAnsi="Times New Roman" w:cs="Times New Roman"/>
          <w:sz w:val="24"/>
          <w:szCs w:val="24"/>
        </w:rPr>
        <w:t>between these children and their peers</w:t>
      </w:r>
      <w:r>
        <w:rPr>
          <w:rFonts w:ascii="Times New Roman" w:hAnsi="Times New Roman" w:cs="Times New Roman"/>
          <w:sz w:val="24"/>
          <w:szCs w:val="24"/>
        </w:rPr>
        <w:t xml:space="preserve"> being closed?</w:t>
      </w:r>
      <w:r w:rsidRPr="007722B9">
        <w:rPr>
          <w:rFonts w:ascii="Times New Roman" w:hAnsi="Times New Roman" w:cs="Times New Roman"/>
          <w:sz w:val="24"/>
          <w:szCs w:val="24"/>
        </w:rPr>
        <w:t xml:space="preserve"> </w:t>
      </w:r>
    </w:p>
    <w:p w:rsidR="00767200" w:rsidRDefault="00767200" w:rsidP="007672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 funding being spent in the right place and on the right children in order to proactively close any attainment gaps?</w:t>
      </w:r>
    </w:p>
    <w:p w:rsidR="00767200" w:rsidRDefault="00767200" w:rsidP="00767200">
      <w:pPr>
        <w:pStyle w:val="ListParagraph"/>
        <w:rPr>
          <w:rFonts w:ascii="Times New Roman" w:hAnsi="Times New Roman" w:cs="Times New Roman"/>
          <w:sz w:val="24"/>
          <w:szCs w:val="24"/>
        </w:rPr>
      </w:pPr>
    </w:p>
    <w:p w:rsidR="00767200" w:rsidRDefault="00767200" w:rsidP="00767200">
      <w:pPr>
        <w:pStyle w:val="ListParagraph"/>
        <w:rPr>
          <w:rFonts w:ascii="Times New Roman" w:hAnsi="Times New Roman" w:cs="Times New Roman"/>
          <w:sz w:val="24"/>
          <w:szCs w:val="24"/>
        </w:rPr>
      </w:pPr>
    </w:p>
    <w:p w:rsidR="00767200" w:rsidRDefault="00767200" w:rsidP="00767200">
      <w:r>
        <w:rPr>
          <w:rFonts w:ascii="Times New Roman" w:hAnsi="Times New Roman" w:cs="Times New Roman"/>
          <w:sz w:val="24"/>
          <w:szCs w:val="24"/>
        </w:rPr>
        <w:t>Further research and analysis will need to be undertaken before these questions can be adequately answered. Therefore they will (hopefully)</w:t>
      </w:r>
      <w:bookmarkStart w:id="0" w:name="_GoBack"/>
      <w:bookmarkEnd w:id="0"/>
      <w:r>
        <w:rPr>
          <w:rFonts w:ascii="Times New Roman" w:hAnsi="Times New Roman" w:cs="Times New Roman"/>
          <w:sz w:val="24"/>
          <w:szCs w:val="24"/>
        </w:rPr>
        <w:t xml:space="preserve"> be covered in more depth in a later Pupil Premium report. </w:t>
      </w:r>
    </w:p>
    <w:p w:rsidR="007B2DBA" w:rsidRDefault="007B2DBA"/>
    <w:sectPr w:rsidR="007B2DBA" w:rsidSect="007D1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6B76"/>
    <w:multiLevelType w:val="hybridMultilevel"/>
    <w:tmpl w:val="5CA6C226"/>
    <w:lvl w:ilvl="0" w:tplc="4AF89C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9E24C8"/>
    <w:multiLevelType w:val="hybridMultilevel"/>
    <w:tmpl w:val="16C8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475F4F"/>
    <w:multiLevelType w:val="hybridMultilevel"/>
    <w:tmpl w:val="2F786258"/>
    <w:lvl w:ilvl="0" w:tplc="80A01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00"/>
    <w:rsid w:val="00430B12"/>
    <w:rsid w:val="00767200"/>
    <w:rsid w:val="007B2DBA"/>
    <w:rsid w:val="00E5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200"/>
    <w:pPr>
      <w:spacing w:after="0" w:line="240" w:lineRule="auto"/>
    </w:pPr>
  </w:style>
  <w:style w:type="paragraph" w:styleId="ListParagraph">
    <w:name w:val="List Paragraph"/>
    <w:basedOn w:val="Normal"/>
    <w:uiPriority w:val="34"/>
    <w:qFormat/>
    <w:rsid w:val="00767200"/>
    <w:pPr>
      <w:ind w:left="720"/>
      <w:contextualSpacing/>
    </w:pPr>
  </w:style>
  <w:style w:type="table" w:styleId="TableGrid">
    <w:name w:val="Table Grid"/>
    <w:basedOn w:val="TableNormal"/>
    <w:uiPriority w:val="59"/>
    <w:rsid w:val="0076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200"/>
    <w:pPr>
      <w:spacing w:after="0" w:line="240" w:lineRule="auto"/>
    </w:pPr>
  </w:style>
  <w:style w:type="paragraph" w:styleId="ListParagraph">
    <w:name w:val="List Paragraph"/>
    <w:basedOn w:val="Normal"/>
    <w:uiPriority w:val="34"/>
    <w:qFormat/>
    <w:rsid w:val="00767200"/>
    <w:pPr>
      <w:ind w:left="720"/>
      <w:contextualSpacing/>
    </w:pPr>
  </w:style>
  <w:style w:type="table" w:styleId="TableGrid">
    <w:name w:val="Table Grid"/>
    <w:basedOn w:val="TableNormal"/>
    <w:uiPriority w:val="59"/>
    <w:rsid w:val="0076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2016-09-22T16:21:00Z</dcterms:created>
  <dcterms:modified xsi:type="dcterms:W3CDTF">2016-11-27T14:45:00Z</dcterms:modified>
</cp:coreProperties>
</file>