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1" w:rsidRDefault="00E47BFA" w:rsidP="00E71D5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165C">
        <w:rPr>
          <w:rFonts w:asciiTheme="minorHAnsi" w:hAnsiTheme="minorHAnsi" w:cstheme="minorHAnsi"/>
          <w:b/>
          <w:sz w:val="28"/>
          <w:szCs w:val="28"/>
        </w:rPr>
        <w:t>St Oswald’s CE Primary School</w:t>
      </w:r>
      <w:r w:rsidR="00FB3F56" w:rsidRPr="008B165C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E71D52" w:rsidRPr="00F36399" w:rsidRDefault="00E71D52" w:rsidP="00E71D52">
      <w:pPr>
        <w:pStyle w:val="NoSpacing"/>
        <w:jc w:val="center"/>
        <w:rPr>
          <w:rFonts w:cs="Calibri"/>
          <w:b/>
          <w:i/>
          <w:sz w:val="24"/>
          <w:szCs w:val="24"/>
        </w:rPr>
      </w:pPr>
      <w:r w:rsidRPr="00F36399">
        <w:rPr>
          <w:rFonts w:cs="Calibri"/>
          <w:b/>
          <w:i/>
          <w:sz w:val="24"/>
          <w:szCs w:val="24"/>
        </w:rPr>
        <w:t>Learning for all, caring for each other, preparing for the future</w:t>
      </w:r>
    </w:p>
    <w:p w:rsidR="00E71D52" w:rsidRPr="00E71D52" w:rsidRDefault="00E71D52" w:rsidP="00E71D52">
      <w:pPr>
        <w:pStyle w:val="NoSpacing"/>
        <w:jc w:val="center"/>
        <w:rPr>
          <w:rFonts w:cs="Calibri"/>
          <w:i/>
          <w:sz w:val="24"/>
          <w:szCs w:val="24"/>
        </w:rPr>
      </w:pPr>
      <w:r w:rsidRPr="00F36399">
        <w:rPr>
          <w:rFonts w:cs="Calibri"/>
          <w:i/>
          <w:sz w:val="24"/>
          <w:szCs w:val="24"/>
        </w:rPr>
        <w:t>Let us encourage one another – Hebrews 10.25</w:t>
      </w:r>
    </w:p>
    <w:p w:rsidR="00E71D52" w:rsidRDefault="00E71D52" w:rsidP="00E71D5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87698" w:rsidRPr="008B165C" w:rsidRDefault="00FB3F56" w:rsidP="00E71D5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165C">
        <w:rPr>
          <w:rFonts w:asciiTheme="minorHAnsi" w:hAnsiTheme="minorHAnsi" w:cstheme="minorHAnsi"/>
          <w:b/>
          <w:sz w:val="28"/>
          <w:szCs w:val="28"/>
        </w:rPr>
        <w:t xml:space="preserve">Pupil Premium </w:t>
      </w:r>
      <w:r w:rsidR="00041E9F" w:rsidRPr="008B165C">
        <w:rPr>
          <w:rFonts w:asciiTheme="minorHAnsi" w:hAnsiTheme="minorHAnsi" w:cstheme="minorHAnsi"/>
          <w:b/>
          <w:sz w:val="28"/>
          <w:szCs w:val="28"/>
        </w:rPr>
        <w:t>Report</w:t>
      </w:r>
      <w:r w:rsidR="00826B41" w:rsidRPr="008B1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58E7" w:rsidRPr="008B165C">
        <w:rPr>
          <w:rFonts w:asciiTheme="minorHAnsi" w:hAnsiTheme="minorHAnsi" w:cstheme="minorHAnsi"/>
          <w:b/>
          <w:sz w:val="28"/>
          <w:szCs w:val="28"/>
        </w:rPr>
        <w:t>20</w:t>
      </w:r>
      <w:r w:rsidR="001F25C3" w:rsidRPr="008B165C">
        <w:rPr>
          <w:rFonts w:asciiTheme="minorHAnsi" w:hAnsiTheme="minorHAnsi" w:cstheme="minorHAnsi"/>
          <w:b/>
          <w:sz w:val="28"/>
          <w:szCs w:val="28"/>
        </w:rPr>
        <w:t>18-19</w:t>
      </w:r>
    </w:p>
    <w:p w:rsidR="00C87698" w:rsidRPr="008B165C" w:rsidRDefault="00C87698" w:rsidP="00C87698">
      <w:pPr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What is the Pupil Premium?</w:t>
      </w:r>
    </w:p>
    <w:p w:rsidR="00B738FD" w:rsidRPr="008B165C" w:rsidRDefault="00D61B66" w:rsidP="00B738FD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The Pupil Premium</w:t>
      </w:r>
      <w:r w:rsidR="00E87F7D" w:rsidRPr="008B165C">
        <w:rPr>
          <w:rFonts w:asciiTheme="minorHAnsi" w:hAnsiTheme="minorHAnsi" w:cstheme="minorHAnsi"/>
          <w:sz w:val="24"/>
          <w:szCs w:val="24"/>
        </w:rPr>
        <w:t xml:space="preserve"> is allocated to schools based on the numbers of pupils in the school who are</w:t>
      </w:r>
      <w:r w:rsidR="00B738FD" w:rsidRPr="008B165C">
        <w:rPr>
          <w:rFonts w:asciiTheme="minorHAnsi" w:hAnsiTheme="minorHAnsi" w:cstheme="minorHAnsi"/>
          <w:sz w:val="24"/>
          <w:szCs w:val="24"/>
        </w:rPr>
        <w:t>:</w:t>
      </w:r>
    </w:p>
    <w:p w:rsidR="00B738FD" w:rsidRPr="008B165C" w:rsidRDefault="00E87F7D" w:rsidP="00B738F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eligible</w:t>
      </w:r>
      <w:r w:rsidR="00B738FD" w:rsidRPr="008B165C">
        <w:rPr>
          <w:rFonts w:asciiTheme="minorHAnsi" w:hAnsiTheme="minorHAnsi" w:cstheme="minorHAnsi"/>
          <w:sz w:val="24"/>
          <w:szCs w:val="24"/>
        </w:rPr>
        <w:t xml:space="preserve"> for Free School Meals (FSM) or have been eligible since 2006 (‘Ever 6 FSM’)</w:t>
      </w:r>
      <w:r w:rsidRPr="008B16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38FD" w:rsidRPr="008B165C" w:rsidRDefault="00E87F7D" w:rsidP="00B738F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looked after child</w:t>
      </w:r>
      <w:r w:rsidR="007D4785" w:rsidRPr="008B165C">
        <w:rPr>
          <w:rFonts w:asciiTheme="minorHAnsi" w:hAnsiTheme="minorHAnsi" w:cstheme="minorHAnsi"/>
          <w:sz w:val="24"/>
          <w:szCs w:val="24"/>
        </w:rPr>
        <w:t>ren (LAC)</w:t>
      </w:r>
      <w:r w:rsidR="00B738FD" w:rsidRPr="008B16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23E2" w:rsidRPr="008B165C" w:rsidRDefault="001623E2" w:rsidP="00B738F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children adopted from care</w:t>
      </w:r>
    </w:p>
    <w:p w:rsidR="00B738FD" w:rsidRPr="008B165C" w:rsidRDefault="00B738FD" w:rsidP="00B738F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Service pupils</w:t>
      </w:r>
      <w:r w:rsidR="00E87F7D" w:rsidRPr="008B165C">
        <w:rPr>
          <w:rFonts w:asciiTheme="minorHAnsi" w:hAnsiTheme="minorHAnsi" w:cstheme="minorHAnsi"/>
          <w:sz w:val="24"/>
          <w:szCs w:val="24"/>
        </w:rPr>
        <w:t xml:space="preserve"> </w:t>
      </w:r>
      <w:r w:rsidR="00E47BFA" w:rsidRPr="008B16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7F7D" w:rsidRPr="008B165C" w:rsidRDefault="00E87F7D" w:rsidP="00B738FD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Schools have the freedom to spend the Pupil Premium, which is additional to the underlying schools budget, in a way they believe will best support the raising of attainment </w:t>
      </w:r>
      <w:r w:rsidR="00AB2612" w:rsidRPr="008B165C">
        <w:rPr>
          <w:rFonts w:asciiTheme="minorHAnsi" w:hAnsiTheme="minorHAnsi" w:cstheme="minorHAnsi"/>
          <w:sz w:val="24"/>
          <w:szCs w:val="24"/>
        </w:rPr>
        <w:t xml:space="preserve">and help overcome barriers to learning </w:t>
      </w:r>
      <w:r w:rsidRPr="008B165C">
        <w:rPr>
          <w:rFonts w:asciiTheme="minorHAnsi" w:hAnsiTheme="minorHAnsi" w:cstheme="minorHAnsi"/>
          <w:sz w:val="24"/>
          <w:szCs w:val="24"/>
        </w:rPr>
        <w:t>for the most vulnerable pupils.</w:t>
      </w:r>
    </w:p>
    <w:p w:rsidR="001B3280" w:rsidRPr="008B165C" w:rsidRDefault="00206EE2" w:rsidP="00206EE2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Ever 6 pupils and children who are looked after or adopted from care are classed as ‘Disadvantaged Pupils.’ </w:t>
      </w:r>
    </w:p>
    <w:p w:rsidR="00C87698" w:rsidRPr="008B165C" w:rsidRDefault="00E51A5C" w:rsidP="00C87698">
      <w:pPr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How much did</w:t>
      </w:r>
      <w:r w:rsidR="00C87698" w:rsidRPr="008B165C">
        <w:rPr>
          <w:rFonts w:asciiTheme="minorHAnsi" w:hAnsiTheme="minorHAnsi" w:cstheme="minorHAnsi"/>
          <w:b/>
          <w:sz w:val="24"/>
          <w:szCs w:val="24"/>
        </w:rPr>
        <w:t xml:space="preserve"> St Oswald’s receive</w:t>
      </w:r>
      <w:r w:rsidR="008B165C" w:rsidRPr="008B165C">
        <w:rPr>
          <w:rFonts w:asciiTheme="minorHAnsi" w:hAnsiTheme="minorHAnsi" w:cstheme="minorHAnsi"/>
          <w:b/>
          <w:sz w:val="24"/>
          <w:szCs w:val="24"/>
        </w:rPr>
        <w:t xml:space="preserve"> in 2018-19</w:t>
      </w:r>
      <w:r w:rsidR="00C87698" w:rsidRPr="008B165C">
        <w:rPr>
          <w:rFonts w:asciiTheme="minorHAnsi" w:hAnsiTheme="minorHAnsi" w:cstheme="minorHAnsi"/>
          <w:b/>
          <w:sz w:val="24"/>
          <w:szCs w:val="24"/>
        </w:rPr>
        <w:t>?</w:t>
      </w:r>
    </w:p>
    <w:p w:rsidR="00C87698" w:rsidRPr="008B165C" w:rsidRDefault="00E87F7D" w:rsidP="00C87698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The level of funding for </w:t>
      </w:r>
      <w:r w:rsidR="00E47BFA" w:rsidRPr="008B165C">
        <w:rPr>
          <w:rFonts w:asciiTheme="minorHAnsi" w:hAnsiTheme="minorHAnsi" w:cstheme="minorHAnsi"/>
          <w:sz w:val="24"/>
          <w:szCs w:val="24"/>
        </w:rPr>
        <w:t>St</w:t>
      </w:r>
      <w:r w:rsidR="00FB3F56" w:rsidRPr="008B165C">
        <w:rPr>
          <w:rFonts w:asciiTheme="minorHAnsi" w:hAnsiTheme="minorHAnsi" w:cstheme="minorHAnsi"/>
          <w:sz w:val="24"/>
          <w:szCs w:val="24"/>
        </w:rPr>
        <w:t xml:space="preserve"> Oswald’s CE Primary for 20</w:t>
      </w:r>
      <w:r w:rsidR="001F25C3" w:rsidRPr="008B165C">
        <w:rPr>
          <w:rFonts w:asciiTheme="minorHAnsi" w:hAnsiTheme="minorHAnsi" w:cstheme="minorHAnsi"/>
          <w:sz w:val="24"/>
          <w:szCs w:val="24"/>
        </w:rPr>
        <w:t>18-19</w:t>
      </w:r>
      <w:r w:rsidR="00E47BFA" w:rsidRPr="008B165C">
        <w:rPr>
          <w:rFonts w:asciiTheme="minorHAnsi" w:hAnsiTheme="minorHAnsi" w:cstheme="minorHAnsi"/>
          <w:sz w:val="24"/>
          <w:szCs w:val="24"/>
        </w:rPr>
        <w:t xml:space="preserve"> </w:t>
      </w:r>
      <w:r w:rsidR="00FB3F56" w:rsidRPr="008B165C">
        <w:rPr>
          <w:rFonts w:asciiTheme="minorHAnsi" w:hAnsiTheme="minorHAnsi" w:cstheme="minorHAnsi"/>
          <w:sz w:val="24"/>
          <w:szCs w:val="24"/>
        </w:rPr>
        <w:t>was based on</w:t>
      </w:r>
      <w:r w:rsidR="001F25C3" w:rsidRPr="008B165C">
        <w:rPr>
          <w:rFonts w:asciiTheme="minorHAnsi" w:hAnsiTheme="minorHAnsi" w:cstheme="minorHAnsi"/>
          <w:sz w:val="24"/>
          <w:szCs w:val="24"/>
        </w:rPr>
        <w:t xml:space="preserve"> January 2018</w:t>
      </w:r>
      <w:r w:rsidR="00AD58E7" w:rsidRPr="008B165C">
        <w:rPr>
          <w:rFonts w:asciiTheme="minorHAnsi" w:hAnsiTheme="minorHAnsi" w:cstheme="minorHAnsi"/>
          <w:sz w:val="24"/>
          <w:szCs w:val="24"/>
        </w:rPr>
        <w:t xml:space="preserve"> </w:t>
      </w:r>
      <w:r w:rsidR="00D70126" w:rsidRPr="008B165C">
        <w:rPr>
          <w:rFonts w:asciiTheme="minorHAnsi" w:hAnsiTheme="minorHAnsi" w:cstheme="minorHAnsi"/>
          <w:sz w:val="24"/>
          <w:szCs w:val="24"/>
        </w:rPr>
        <w:t xml:space="preserve">census data and </w:t>
      </w:r>
      <w:r w:rsidR="00E47BFA" w:rsidRPr="008B165C">
        <w:rPr>
          <w:rFonts w:asciiTheme="minorHAnsi" w:hAnsiTheme="minorHAnsi" w:cstheme="minorHAnsi"/>
          <w:sz w:val="24"/>
          <w:szCs w:val="24"/>
        </w:rPr>
        <w:t>was</w:t>
      </w:r>
      <w:r w:rsidR="00D61B66" w:rsidRPr="008B165C">
        <w:rPr>
          <w:rFonts w:asciiTheme="minorHAnsi" w:hAnsiTheme="minorHAnsi" w:cstheme="minorHAnsi"/>
          <w:sz w:val="24"/>
          <w:szCs w:val="24"/>
        </w:rPr>
        <w:t xml:space="preserve"> as follows:</w:t>
      </w:r>
    </w:p>
    <w:tbl>
      <w:tblPr>
        <w:tblStyle w:val="TableGrid"/>
        <w:tblpPr w:leftFromText="180" w:rightFromText="180" w:vertAnchor="page" w:horzAnchor="margin" w:tblpY="8929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013"/>
      </w:tblGrid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Default="001F25C3" w:rsidP="007F5B36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  <w:jc w:val="right"/>
            </w:pPr>
            <w:r>
              <w:t>£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rPr>
                <w:sz w:val="20"/>
                <w:szCs w:val="20"/>
              </w:rPr>
              <w:t>% of allocation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Pupil Premium Champion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29500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61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TA support and interventions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14400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30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Nurture, mental health and social skills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2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Clubs, trips and extra curricula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2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 xml:space="preserve">Peripatetic music lessons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0.5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Training and resources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 xml:space="preserve"> 1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Cool Milk and additional resources for Pupil Premium pupils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1500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3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Service pupil champion expenses, including mobile 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160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0.5</w:t>
            </w:r>
          </w:p>
        </w:tc>
      </w:tr>
      <w:tr w:rsidR="001F25C3" w:rsidTr="007F5B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C3" w:rsidRDefault="001F25C3" w:rsidP="007F5B36">
            <w:pPr>
              <w:pStyle w:val="NoSpacing"/>
            </w:pPr>
            <w:r>
              <w:t>48300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Default="001F25C3" w:rsidP="007F5B36">
            <w:pPr>
              <w:pStyle w:val="NoSpacing"/>
            </w:pPr>
          </w:p>
        </w:tc>
      </w:tr>
    </w:tbl>
    <w:p w:rsidR="001F25C3" w:rsidRDefault="001F25C3" w:rsidP="00155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623B51A" wp14:editId="67761393">
            <wp:extent cx="3883025" cy="4060190"/>
            <wp:effectExtent l="0" t="0" r="3175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5B36" w:rsidRDefault="007F5B36" w:rsidP="00155F4E">
      <w:pPr>
        <w:rPr>
          <w:rFonts w:ascii="Arial" w:hAnsi="Arial" w:cs="Arial"/>
          <w:b/>
          <w:sz w:val="24"/>
          <w:szCs w:val="24"/>
        </w:rPr>
      </w:pPr>
    </w:p>
    <w:p w:rsidR="00155F4E" w:rsidRPr="008B165C" w:rsidRDefault="00E51A5C" w:rsidP="00155F4E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lastRenderedPageBreak/>
        <w:t>How wa</w:t>
      </w:r>
      <w:r w:rsidR="00C87698" w:rsidRPr="008B165C">
        <w:rPr>
          <w:rFonts w:asciiTheme="minorHAnsi" w:hAnsiTheme="minorHAnsi" w:cstheme="minorHAnsi"/>
          <w:b/>
          <w:sz w:val="24"/>
          <w:szCs w:val="24"/>
        </w:rPr>
        <w:t>s this money spent?</w:t>
      </w:r>
      <w:r w:rsidR="00155F4E" w:rsidRPr="008B16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2376" w:rsidRPr="008B165C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Employing support staff to meet individual needs of Pupil Premium pupils</w:t>
      </w:r>
      <w:r w:rsidRPr="008B165C">
        <w:rPr>
          <w:rFonts w:asciiTheme="minorHAnsi" w:hAnsiTheme="minorHAnsi" w:cstheme="minorHAnsi"/>
          <w:sz w:val="24"/>
          <w:szCs w:val="24"/>
        </w:rPr>
        <w:t>:</w:t>
      </w:r>
    </w:p>
    <w:p w:rsidR="00155F4E" w:rsidRPr="008B165C" w:rsidRDefault="00155F4E" w:rsidP="001A237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Full-time ‘Pupil Premium Champion’, working with individuals / groups throughout school according to individual needs (including Literacy, Maths, EAL, social /emotional support and supporting mobile pupils)</w:t>
      </w:r>
    </w:p>
    <w:p w:rsidR="00155F4E" w:rsidRPr="008B165C" w:rsidRDefault="00155F4E" w:rsidP="0061581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Teaching Assistants (TA2 &amp; TA3) working with PP pupils as part of their role to address specific learning needs </w:t>
      </w:r>
      <w:r w:rsidR="00D70126" w:rsidRPr="008B165C">
        <w:rPr>
          <w:rFonts w:asciiTheme="minorHAnsi" w:hAnsiTheme="minorHAnsi" w:cstheme="minorHAnsi"/>
          <w:sz w:val="24"/>
          <w:szCs w:val="24"/>
        </w:rPr>
        <w:t>both within the classroom and through additional interventions</w:t>
      </w:r>
    </w:p>
    <w:p w:rsidR="00CC7537" w:rsidRPr="008B165C" w:rsidRDefault="00CC7537" w:rsidP="00CC7537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The SENDCO to co-ordinate the work of the Pupil Premium Champion</w:t>
      </w:r>
    </w:p>
    <w:p w:rsidR="00155F4E" w:rsidRPr="008B165C" w:rsidRDefault="00155F4E" w:rsidP="00155F4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87698" w:rsidRPr="008B165C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Purchase of resources</w:t>
      </w:r>
      <w:r w:rsidRPr="008B165C">
        <w:rPr>
          <w:rFonts w:asciiTheme="minorHAnsi" w:hAnsiTheme="minorHAnsi" w:cstheme="minorHAnsi"/>
          <w:sz w:val="24"/>
          <w:szCs w:val="24"/>
        </w:rPr>
        <w:t xml:space="preserve"> to support work of Pupil Premium Champion</w:t>
      </w:r>
      <w:r w:rsidR="00214FB6" w:rsidRPr="008B165C">
        <w:rPr>
          <w:rFonts w:asciiTheme="minorHAnsi" w:hAnsiTheme="minorHAnsi" w:cstheme="minorHAnsi"/>
          <w:sz w:val="24"/>
          <w:szCs w:val="24"/>
        </w:rPr>
        <w:t xml:space="preserve"> / Pupil Support Assistant</w:t>
      </w:r>
    </w:p>
    <w:p w:rsidR="00D169E4" w:rsidRPr="008B165C" w:rsidRDefault="00D169E4" w:rsidP="00D169E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169E4" w:rsidRPr="008B165C" w:rsidRDefault="00D169E4" w:rsidP="00D169E4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Funding Play Therapy sessions</w:t>
      </w:r>
      <w:r w:rsidR="00E14E7A" w:rsidRPr="008B165C">
        <w:rPr>
          <w:rFonts w:asciiTheme="minorHAnsi" w:hAnsiTheme="minorHAnsi" w:cstheme="minorHAnsi"/>
          <w:b/>
          <w:sz w:val="24"/>
          <w:szCs w:val="24"/>
        </w:rPr>
        <w:t xml:space="preserve"> for individual pupil</w:t>
      </w:r>
      <w:r w:rsidR="00615818" w:rsidRPr="008B165C">
        <w:rPr>
          <w:rFonts w:asciiTheme="minorHAnsi" w:hAnsiTheme="minorHAnsi" w:cstheme="minorHAnsi"/>
          <w:b/>
          <w:sz w:val="24"/>
          <w:szCs w:val="24"/>
        </w:rPr>
        <w:t xml:space="preserve"> and ELSA sessions</w:t>
      </w:r>
    </w:p>
    <w:p w:rsidR="001B3280" w:rsidRPr="008B165C" w:rsidRDefault="001B3280" w:rsidP="001B32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3280" w:rsidRPr="008B165C" w:rsidRDefault="001B3280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Enabling specific pupils to participate in extra-curricular activities by funding all or part of the cost of:</w:t>
      </w:r>
    </w:p>
    <w:p w:rsidR="001B3280" w:rsidRPr="008B165C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Residential visits</w:t>
      </w:r>
    </w:p>
    <w:p w:rsidR="001B3280" w:rsidRPr="008B165C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School trips</w:t>
      </w:r>
    </w:p>
    <w:p w:rsidR="001B3280" w:rsidRPr="008B165C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Attending after school clubs / Breakfast Club</w:t>
      </w:r>
    </w:p>
    <w:p w:rsidR="00615818" w:rsidRPr="008B165C" w:rsidRDefault="00615818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Peripatetic music lessons</w:t>
      </w:r>
    </w:p>
    <w:p w:rsidR="00615818" w:rsidRPr="008B165C" w:rsidRDefault="00615818" w:rsidP="00615818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15818" w:rsidRPr="008B165C" w:rsidRDefault="00615818" w:rsidP="00615818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Providing additional resources to support PP pupils</w:t>
      </w:r>
      <w:r w:rsidRPr="008B165C">
        <w:rPr>
          <w:rFonts w:asciiTheme="minorHAnsi" w:hAnsiTheme="minorHAnsi" w:cstheme="minorHAnsi"/>
          <w:sz w:val="24"/>
          <w:szCs w:val="24"/>
        </w:rPr>
        <w:t>, including daily milk, school uniform, ‘homework packs’ and learning resources</w:t>
      </w:r>
    </w:p>
    <w:p w:rsidR="00155F4E" w:rsidRPr="008B165C" w:rsidRDefault="00155F4E" w:rsidP="00155F4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5F4E" w:rsidRPr="008B165C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 xml:space="preserve">Funding </w:t>
      </w:r>
      <w:r w:rsidR="00615818" w:rsidRPr="008B165C">
        <w:rPr>
          <w:rFonts w:asciiTheme="minorHAnsi" w:hAnsiTheme="minorHAnsi" w:cstheme="minorHAnsi"/>
          <w:b/>
          <w:sz w:val="24"/>
          <w:szCs w:val="24"/>
        </w:rPr>
        <w:t>additional expenses to support the work of the Service Pupil Champion</w:t>
      </w:r>
      <w:r w:rsidRPr="008B165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C7537" w:rsidRPr="008B165C" w:rsidRDefault="00155F4E" w:rsidP="00155F4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8B165C">
        <w:rPr>
          <w:rFonts w:asciiTheme="minorHAnsi" w:hAnsiTheme="minorHAnsi" w:cstheme="minorHAnsi"/>
          <w:sz w:val="24"/>
          <w:szCs w:val="24"/>
        </w:rPr>
        <w:t>Headteacher</w:t>
      </w:r>
      <w:proofErr w:type="spellEnd"/>
      <w:r w:rsidR="00615818" w:rsidRPr="008B165C">
        <w:rPr>
          <w:rFonts w:asciiTheme="minorHAnsi" w:hAnsiTheme="minorHAnsi" w:cstheme="minorHAnsi"/>
          <w:sz w:val="24"/>
          <w:szCs w:val="24"/>
        </w:rPr>
        <w:t xml:space="preserve"> and Service Pupil Champion</w:t>
      </w:r>
      <w:r w:rsidRPr="008B165C">
        <w:rPr>
          <w:rFonts w:asciiTheme="minorHAnsi" w:hAnsiTheme="minorHAnsi" w:cstheme="minorHAnsi"/>
          <w:sz w:val="24"/>
          <w:szCs w:val="24"/>
        </w:rPr>
        <w:t xml:space="preserve"> to attend York Service Families Forum meetings, North Yorkshire Service Pupils Conference</w:t>
      </w:r>
      <w:r w:rsidR="00D70126" w:rsidRPr="008B16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0126" w:rsidRPr="008B165C">
        <w:rPr>
          <w:rFonts w:asciiTheme="minorHAnsi" w:hAnsiTheme="minorHAnsi" w:cstheme="minorHAnsi"/>
          <w:sz w:val="24"/>
          <w:szCs w:val="24"/>
        </w:rPr>
        <w:t>etc</w:t>
      </w:r>
      <w:proofErr w:type="spellEnd"/>
    </w:p>
    <w:p w:rsidR="00CC7537" w:rsidRPr="008B165C" w:rsidRDefault="00CC7537" w:rsidP="00155F4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Travel and admin expenses</w:t>
      </w:r>
    </w:p>
    <w:p w:rsidR="0023664F" w:rsidRPr="008B165C" w:rsidRDefault="00CC7537" w:rsidP="00CC753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Purchase and running cost of a mobile phone to ensure the safety of Service Pupil Champion when visiting the homes of service pupils</w:t>
      </w:r>
      <w:r w:rsidR="00894147" w:rsidRPr="008B16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38FD" w:rsidRPr="008B165C" w:rsidRDefault="00B738FD" w:rsidP="00C87698">
      <w:pPr>
        <w:rPr>
          <w:rFonts w:asciiTheme="minorHAnsi" w:hAnsiTheme="minorHAnsi" w:cstheme="minorHAnsi"/>
          <w:b/>
          <w:sz w:val="24"/>
          <w:szCs w:val="24"/>
        </w:rPr>
      </w:pPr>
    </w:p>
    <w:p w:rsidR="00232DED" w:rsidRPr="008B165C" w:rsidRDefault="00E11410" w:rsidP="00C87698">
      <w:pPr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What was the i</w:t>
      </w:r>
      <w:r w:rsidR="00155F4E" w:rsidRPr="008B165C">
        <w:rPr>
          <w:rFonts w:asciiTheme="minorHAnsi" w:hAnsiTheme="minorHAnsi" w:cstheme="minorHAnsi"/>
          <w:b/>
          <w:sz w:val="24"/>
          <w:szCs w:val="24"/>
        </w:rPr>
        <w:t>mpact</w:t>
      </w:r>
      <w:r w:rsidRPr="008B165C">
        <w:rPr>
          <w:rFonts w:asciiTheme="minorHAnsi" w:hAnsiTheme="minorHAnsi" w:cstheme="minorHAnsi"/>
          <w:b/>
          <w:sz w:val="24"/>
          <w:szCs w:val="24"/>
        </w:rPr>
        <w:t>?</w:t>
      </w:r>
    </w:p>
    <w:p w:rsidR="00863DCC" w:rsidRPr="008B165C" w:rsidRDefault="00E11410" w:rsidP="00C87698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The progress of all pupils is monitored on </w:t>
      </w:r>
      <w:r w:rsidR="0041600D" w:rsidRPr="008B165C">
        <w:rPr>
          <w:rFonts w:asciiTheme="minorHAnsi" w:hAnsiTheme="minorHAnsi" w:cstheme="minorHAnsi"/>
          <w:sz w:val="24"/>
          <w:szCs w:val="24"/>
        </w:rPr>
        <w:t>at four assessment points</w:t>
      </w:r>
      <w:r w:rsidRPr="008B165C">
        <w:rPr>
          <w:rFonts w:asciiTheme="minorHAnsi" w:hAnsiTheme="minorHAnsi" w:cstheme="minorHAnsi"/>
          <w:sz w:val="24"/>
          <w:szCs w:val="24"/>
        </w:rPr>
        <w:t xml:space="preserve">. This includes tracking of individual pupils and groups in receipt of Pupil Premium. </w:t>
      </w:r>
    </w:p>
    <w:p w:rsidR="00863DCC" w:rsidRPr="008B165C" w:rsidRDefault="00E11410" w:rsidP="00C87698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The fo</w:t>
      </w:r>
      <w:r w:rsidR="00863DCC" w:rsidRPr="008B165C">
        <w:rPr>
          <w:rFonts w:asciiTheme="minorHAnsi" w:hAnsiTheme="minorHAnsi" w:cstheme="minorHAnsi"/>
          <w:sz w:val="24"/>
          <w:szCs w:val="24"/>
        </w:rPr>
        <w:t>llowing tables show the attainment</w:t>
      </w:r>
      <w:r w:rsidRPr="008B165C">
        <w:rPr>
          <w:rFonts w:asciiTheme="minorHAnsi" w:hAnsiTheme="minorHAnsi" w:cstheme="minorHAnsi"/>
          <w:sz w:val="24"/>
          <w:szCs w:val="24"/>
        </w:rPr>
        <w:t xml:space="preserve"> of Pupil Premium pupils </w:t>
      </w:r>
      <w:r w:rsidR="001B3280" w:rsidRPr="008B165C">
        <w:rPr>
          <w:rFonts w:asciiTheme="minorHAnsi" w:hAnsiTheme="minorHAnsi" w:cstheme="minorHAnsi"/>
          <w:sz w:val="24"/>
          <w:szCs w:val="24"/>
        </w:rPr>
        <w:t>at end of KS1 and KS2</w:t>
      </w:r>
      <w:r w:rsidRPr="008B165C">
        <w:rPr>
          <w:rFonts w:asciiTheme="minorHAnsi" w:hAnsiTheme="minorHAnsi" w:cstheme="minorHAnsi"/>
          <w:sz w:val="24"/>
          <w:szCs w:val="24"/>
        </w:rPr>
        <w:t xml:space="preserve"> co</w:t>
      </w:r>
      <w:r w:rsidR="00C378B5" w:rsidRPr="008B165C">
        <w:rPr>
          <w:rFonts w:asciiTheme="minorHAnsi" w:hAnsiTheme="minorHAnsi" w:cstheme="minorHAnsi"/>
          <w:sz w:val="24"/>
          <w:szCs w:val="24"/>
        </w:rPr>
        <w:t>mpared with those who did not receive</w:t>
      </w:r>
      <w:r w:rsidRPr="008B165C">
        <w:rPr>
          <w:rFonts w:asciiTheme="minorHAnsi" w:hAnsiTheme="minorHAnsi" w:cstheme="minorHAnsi"/>
          <w:sz w:val="24"/>
          <w:szCs w:val="24"/>
        </w:rPr>
        <w:t xml:space="preserve"> Pup</w:t>
      </w:r>
      <w:r w:rsidR="001B3280" w:rsidRPr="008B165C">
        <w:rPr>
          <w:rFonts w:asciiTheme="minorHAnsi" w:hAnsiTheme="minorHAnsi" w:cstheme="minorHAnsi"/>
          <w:sz w:val="24"/>
          <w:szCs w:val="24"/>
        </w:rPr>
        <w:t>il Premium</w:t>
      </w:r>
      <w:r w:rsidRPr="008B165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83C71" w:rsidRPr="008B165C" w:rsidRDefault="00E608DF" w:rsidP="00C87698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It is important to note that:</w:t>
      </w:r>
    </w:p>
    <w:p w:rsidR="00383C71" w:rsidRPr="008B165C" w:rsidRDefault="00E608DF" w:rsidP="00383C7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Where</w:t>
      </w:r>
      <w:r w:rsidR="00E11410" w:rsidRPr="008B165C">
        <w:rPr>
          <w:rFonts w:asciiTheme="minorHAnsi" w:hAnsiTheme="minorHAnsi" w:cstheme="minorHAnsi"/>
          <w:sz w:val="24"/>
          <w:szCs w:val="24"/>
        </w:rPr>
        <w:t xml:space="preserve"> numb</w:t>
      </w:r>
      <w:r w:rsidRPr="008B165C">
        <w:rPr>
          <w:rFonts w:asciiTheme="minorHAnsi" w:hAnsiTheme="minorHAnsi" w:cstheme="minorHAnsi"/>
          <w:sz w:val="24"/>
          <w:szCs w:val="24"/>
        </w:rPr>
        <w:t>ers are very small</w:t>
      </w:r>
      <w:r w:rsidR="00E11410" w:rsidRPr="008B165C">
        <w:rPr>
          <w:rFonts w:asciiTheme="minorHAnsi" w:hAnsiTheme="minorHAnsi" w:cstheme="minorHAnsi"/>
          <w:sz w:val="24"/>
          <w:szCs w:val="24"/>
        </w:rPr>
        <w:t xml:space="preserve"> an individual pupil</w:t>
      </w:r>
      <w:r w:rsidR="00383C71" w:rsidRPr="008B165C">
        <w:rPr>
          <w:rFonts w:asciiTheme="minorHAnsi" w:hAnsiTheme="minorHAnsi" w:cstheme="minorHAnsi"/>
          <w:sz w:val="24"/>
          <w:szCs w:val="24"/>
        </w:rPr>
        <w:t xml:space="preserve"> may have a disproportionate impact on these figures. </w:t>
      </w:r>
    </w:p>
    <w:p w:rsidR="00D70126" w:rsidRPr="008B165C" w:rsidRDefault="00D70126" w:rsidP="00383C7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The school has above-average pupil</w:t>
      </w:r>
      <w:r w:rsidR="00E608DF" w:rsidRPr="008B165C">
        <w:rPr>
          <w:rFonts w:asciiTheme="minorHAnsi" w:hAnsiTheme="minorHAnsi" w:cstheme="minorHAnsi"/>
          <w:sz w:val="24"/>
          <w:szCs w:val="24"/>
        </w:rPr>
        <w:t xml:space="preserve"> </w:t>
      </w:r>
      <w:r w:rsidR="00E14E7A" w:rsidRPr="008B165C">
        <w:rPr>
          <w:rFonts w:asciiTheme="minorHAnsi" w:hAnsiTheme="minorHAnsi" w:cstheme="minorHAnsi"/>
          <w:sz w:val="24"/>
          <w:szCs w:val="24"/>
        </w:rPr>
        <w:t xml:space="preserve">mobility. </w:t>
      </w:r>
      <w:r w:rsidR="00E608DF" w:rsidRPr="008B165C">
        <w:rPr>
          <w:rFonts w:asciiTheme="minorHAnsi" w:hAnsiTheme="minorHAnsi" w:cstheme="minorHAnsi"/>
          <w:sz w:val="24"/>
          <w:szCs w:val="24"/>
        </w:rPr>
        <w:t>T</w:t>
      </w:r>
      <w:r w:rsidRPr="008B165C">
        <w:rPr>
          <w:rFonts w:asciiTheme="minorHAnsi" w:hAnsiTheme="minorHAnsi" w:cstheme="minorHAnsi"/>
          <w:sz w:val="24"/>
          <w:szCs w:val="24"/>
        </w:rPr>
        <w:t>herefore the progress of individual pupils who have left or arrived during the year may not be reflected in these figures</w:t>
      </w:r>
    </w:p>
    <w:p w:rsidR="00E11410" w:rsidRPr="008B165C" w:rsidRDefault="00383C71" w:rsidP="00383C7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Some Pupil Premium pupils may also have Special Educational Needs and/or English as an Additional Language</w:t>
      </w:r>
    </w:p>
    <w:p w:rsidR="0041600D" w:rsidRPr="008B165C" w:rsidRDefault="00383C71" w:rsidP="004160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>Some Pupil Premium pupils may also have specific social &amp; emotional / behavioural needs and progress in these areas is not necessarily reflect</w:t>
      </w:r>
      <w:r w:rsidR="00850BA8" w:rsidRPr="008B165C">
        <w:rPr>
          <w:rFonts w:asciiTheme="minorHAnsi" w:hAnsiTheme="minorHAnsi" w:cstheme="minorHAnsi"/>
          <w:sz w:val="24"/>
          <w:szCs w:val="24"/>
        </w:rPr>
        <w:t>ed in national curriculum</w:t>
      </w:r>
      <w:r w:rsidRPr="008B165C">
        <w:rPr>
          <w:rFonts w:asciiTheme="minorHAnsi" w:hAnsiTheme="minorHAnsi" w:cstheme="minorHAnsi"/>
          <w:sz w:val="24"/>
          <w:szCs w:val="24"/>
        </w:rPr>
        <w:t xml:space="preserve"> progress.</w:t>
      </w:r>
    </w:p>
    <w:p w:rsidR="00A905C1" w:rsidRDefault="00A905C1" w:rsidP="00863DCC">
      <w:pPr>
        <w:jc w:val="center"/>
        <w:rPr>
          <w:rFonts w:ascii="Arial" w:hAnsi="Arial" w:cs="Arial"/>
          <w:b/>
          <w:sz w:val="24"/>
          <w:szCs w:val="24"/>
        </w:rPr>
      </w:pPr>
    </w:p>
    <w:p w:rsidR="00DE2D68" w:rsidRPr="008B165C" w:rsidRDefault="00863DCC" w:rsidP="00863D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165C">
        <w:rPr>
          <w:rFonts w:asciiTheme="minorHAnsi" w:hAnsiTheme="minorHAnsi" w:cstheme="minorHAnsi"/>
          <w:b/>
          <w:sz w:val="28"/>
          <w:szCs w:val="28"/>
        </w:rPr>
        <w:lastRenderedPageBreak/>
        <w:t>Attainment and Progre</w:t>
      </w:r>
      <w:r w:rsidR="00040A56" w:rsidRPr="008B165C">
        <w:rPr>
          <w:rFonts w:asciiTheme="minorHAnsi" w:hAnsiTheme="minorHAnsi" w:cstheme="minorHAnsi"/>
          <w:b/>
          <w:sz w:val="28"/>
          <w:szCs w:val="28"/>
        </w:rPr>
        <w:t>ss of Pupil P</w:t>
      </w:r>
      <w:r w:rsidR="0041600D" w:rsidRPr="008B165C">
        <w:rPr>
          <w:rFonts w:asciiTheme="minorHAnsi" w:hAnsiTheme="minorHAnsi" w:cstheme="minorHAnsi"/>
          <w:b/>
          <w:sz w:val="28"/>
          <w:szCs w:val="28"/>
        </w:rPr>
        <w:t>remium Pupils 2018-19</w:t>
      </w:r>
    </w:p>
    <w:p w:rsidR="000B6D15" w:rsidRPr="008B165C" w:rsidRDefault="0041600D" w:rsidP="000B6D15">
      <w:pPr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End of EYFS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31"/>
        <w:gridCol w:w="2032"/>
      </w:tblGrid>
      <w:tr w:rsidR="00A92A3A" w:rsidRPr="008B165C" w:rsidTr="00A92A3A">
        <w:tc>
          <w:tcPr>
            <w:tcW w:w="2235" w:type="dxa"/>
          </w:tcPr>
          <w:p w:rsidR="00A92A3A" w:rsidRPr="008B165C" w:rsidRDefault="00F11635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EYFS Cohort:</w:t>
            </w:r>
            <w:r w:rsidR="0041600D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(43</w:t>
            </w:r>
            <w:r w:rsidR="00214FB6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pupils)</w:t>
            </w:r>
          </w:p>
        </w:tc>
        <w:tc>
          <w:tcPr>
            <w:tcW w:w="4063" w:type="dxa"/>
            <w:gridSpan w:val="2"/>
          </w:tcPr>
          <w:p w:rsidR="00A92A3A" w:rsidRPr="008B165C" w:rsidRDefault="00A92A3A" w:rsidP="000B6D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Percentage </w:t>
            </w:r>
            <w:r w:rsidR="004431DD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(number) 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of pupils achieving Good Level of Development</w:t>
            </w:r>
          </w:p>
        </w:tc>
      </w:tr>
      <w:tr w:rsidR="00A92A3A" w:rsidRPr="008B165C" w:rsidTr="00A92A3A">
        <w:tc>
          <w:tcPr>
            <w:tcW w:w="2235" w:type="dxa"/>
          </w:tcPr>
          <w:p w:rsidR="00A92A3A" w:rsidRPr="008B165C" w:rsidRDefault="00A92A3A" w:rsidP="00D469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A92A3A" w:rsidRPr="008B165C" w:rsidRDefault="00A92A3A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2032" w:type="dxa"/>
          </w:tcPr>
          <w:p w:rsidR="00A92A3A" w:rsidRPr="008B165C" w:rsidRDefault="00A92A3A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National</w:t>
            </w:r>
            <w:r w:rsidR="006B3C28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(all pupils)</w:t>
            </w:r>
          </w:p>
        </w:tc>
      </w:tr>
      <w:tr w:rsidR="00D46997" w:rsidRPr="008B165C" w:rsidTr="00984FBF">
        <w:tc>
          <w:tcPr>
            <w:tcW w:w="2235" w:type="dxa"/>
          </w:tcPr>
          <w:p w:rsidR="00D46997" w:rsidRPr="008B165C" w:rsidRDefault="0041600D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All pupils (43</w:t>
            </w:r>
            <w:r w:rsidR="00E14E7A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D46997" w:rsidRPr="008B165C" w:rsidRDefault="0041600D" w:rsidP="000B6D1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  <w:r w:rsidR="00E14E7A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032" w:type="dxa"/>
            <w:vMerge w:val="restart"/>
          </w:tcPr>
          <w:p w:rsidR="00D46997" w:rsidRPr="008B165C" w:rsidRDefault="00A905C1" w:rsidP="000B6D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72%</w:t>
            </w:r>
          </w:p>
          <w:p w:rsidR="00D46997" w:rsidRPr="008B165C" w:rsidRDefault="00D46997" w:rsidP="00214FB6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14E7A" w:rsidRPr="008B165C" w:rsidTr="00984FBF">
        <w:tc>
          <w:tcPr>
            <w:tcW w:w="2235" w:type="dxa"/>
          </w:tcPr>
          <w:p w:rsidR="00E14E7A" w:rsidRPr="008B165C" w:rsidRDefault="00E14E7A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Service pupils (</w:t>
            </w:r>
            <w:r w:rsidR="00AF0E6D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E14E7A" w:rsidRPr="00AF0E6D" w:rsidRDefault="00AF0E6D" w:rsidP="000B6D1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F0E6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905C1" w:rsidRPr="00AF0E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14E7A" w:rsidRPr="00AF0E6D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032" w:type="dxa"/>
            <w:vMerge/>
          </w:tcPr>
          <w:p w:rsidR="00E14E7A" w:rsidRPr="008B165C" w:rsidRDefault="00E14E7A" w:rsidP="000B6D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6997" w:rsidRPr="008B165C" w:rsidTr="004D6EC7">
        <w:tc>
          <w:tcPr>
            <w:tcW w:w="2235" w:type="dxa"/>
          </w:tcPr>
          <w:p w:rsidR="00D46997" w:rsidRPr="008B165C" w:rsidRDefault="00A905C1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Disadvantaged pupils (1)</w:t>
            </w:r>
          </w:p>
        </w:tc>
        <w:tc>
          <w:tcPr>
            <w:tcW w:w="2031" w:type="dxa"/>
          </w:tcPr>
          <w:p w:rsidR="00D46997" w:rsidRPr="00AF0E6D" w:rsidRDefault="00C416AE" w:rsidP="000B6D1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32" w:type="dxa"/>
            <w:vMerge/>
          </w:tcPr>
          <w:p w:rsidR="00D46997" w:rsidRPr="008B165C" w:rsidRDefault="00D46997" w:rsidP="000B6D1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46997" w:rsidRPr="008B165C" w:rsidTr="004D6EC7">
        <w:tc>
          <w:tcPr>
            <w:tcW w:w="2235" w:type="dxa"/>
          </w:tcPr>
          <w:p w:rsidR="00D46997" w:rsidRPr="008B165C" w:rsidRDefault="00A905C1" w:rsidP="00AF0E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Non- </w:t>
            </w:r>
            <w:r w:rsidR="00AF0E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disadvantaged 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pupils (36)</w:t>
            </w:r>
          </w:p>
        </w:tc>
        <w:tc>
          <w:tcPr>
            <w:tcW w:w="2031" w:type="dxa"/>
          </w:tcPr>
          <w:p w:rsidR="00D46997" w:rsidRPr="00AF0E6D" w:rsidRDefault="00AF0E6D" w:rsidP="000B6D1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F0E6D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A905C1" w:rsidRPr="00AF0E6D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032" w:type="dxa"/>
            <w:vMerge/>
          </w:tcPr>
          <w:p w:rsidR="00D46997" w:rsidRPr="008B165C" w:rsidRDefault="00D46997" w:rsidP="000B6D1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0B6D15" w:rsidRPr="008B165C" w:rsidRDefault="000B6D15" w:rsidP="000B6D15">
      <w:pPr>
        <w:rPr>
          <w:rFonts w:asciiTheme="minorHAnsi" w:hAnsiTheme="minorHAnsi" w:cstheme="minorHAnsi"/>
          <w:b/>
          <w:sz w:val="24"/>
          <w:szCs w:val="24"/>
        </w:rPr>
      </w:pPr>
    </w:p>
    <w:p w:rsidR="00E750D4" w:rsidRPr="008B165C" w:rsidRDefault="00E750D4" w:rsidP="000B6D15">
      <w:pPr>
        <w:rPr>
          <w:rFonts w:asciiTheme="minorHAnsi" w:hAnsiTheme="minorHAnsi" w:cstheme="minorHAnsi"/>
          <w:b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>Y1 Phonics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66"/>
        <w:gridCol w:w="2866"/>
      </w:tblGrid>
      <w:tr w:rsidR="00F17C2D" w:rsidRPr="008B165C" w:rsidTr="00B84DA8">
        <w:tc>
          <w:tcPr>
            <w:tcW w:w="3510" w:type="dxa"/>
          </w:tcPr>
          <w:p w:rsidR="00F17C2D" w:rsidRPr="008B165C" w:rsidRDefault="00F11635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Y1 </w:t>
            </w:r>
            <w:r w:rsidR="003617DE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Cohort</w:t>
            </w:r>
            <w:r w:rsidR="00BB0A10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: 39</w:t>
            </w:r>
            <w:r w:rsidR="003617DE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pupils</w:t>
            </w:r>
          </w:p>
        </w:tc>
        <w:tc>
          <w:tcPr>
            <w:tcW w:w="5732" w:type="dxa"/>
            <w:gridSpan w:val="2"/>
          </w:tcPr>
          <w:p w:rsidR="00F17C2D" w:rsidRPr="008B165C" w:rsidRDefault="00F17C2D" w:rsidP="00293B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Percentage of pupils working at required standard</w:t>
            </w:r>
          </w:p>
        </w:tc>
      </w:tr>
      <w:tr w:rsidR="00F17C2D" w:rsidRPr="008B165C" w:rsidTr="00B84DA8">
        <w:tc>
          <w:tcPr>
            <w:tcW w:w="3510" w:type="dxa"/>
          </w:tcPr>
          <w:p w:rsidR="00F17C2D" w:rsidRPr="008B165C" w:rsidRDefault="00F17C2D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F17C2D" w:rsidRPr="008B165C" w:rsidRDefault="00F17C2D" w:rsidP="00293B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2866" w:type="dxa"/>
          </w:tcPr>
          <w:p w:rsidR="00F17C2D" w:rsidRPr="008B165C" w:rsidRDefault="00F17C2D" w:rsidP="00293BB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National</w:t>
            </w:r>
            <w:r w:rsidR="00E14E7A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46997" w:rsidRPr="008B165C" w:rsidTr="00B84DA8">
        <w:tc>
          <w:tcPr>
            <w:tcW w:w="3510" w:type="dxa"/>
          </w:tcPr>
          <w:p w:rsidR="00D46997" w:rsidRPr="008B165C" w:rsidRDefault="00E14E7A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All </w:t>
            </w:r>
            <w:r w:rsidR="00D4699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pupils (</w:t>
            </w:r>
            <w:r w:rsidR="00BB0A10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  <w:r w:rsidR="00D4699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D46997" w:rsidRPr="008B165C" w:rsidRDefault="00BB0A10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866" w:type="dxa"/>
            <w:vMerge w:val="restart"/>
          </w:tcPr>
          <w:p w:rsidR="00D46997" w:rsidRPr="008B165C" w:rsidRDefault="00D46997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46997" w:rsidRPr="008B165C" w:rsidRDefault="00BB0A10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1655BF" w:rsidRPr="008B165C" w:rsidTr="00B84DA8">
        <w:tc>
          <w:tcPr>
            <w:tcW w:w="3510" w:type="dxa"/>
          </w:tcPr>
          <w:p w:rsidR="001655BF" w:rsidRPr="008B165C" w:rsidRDefault="001655BF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Service </w:t>
            </w:r>
            <w:r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>Pupils (</w:t>
            </w:r>
            <w:r w:rsidR="00C416A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1655BF" w:rsidRPr="008B165C" w:rsidRDefault="00C416AE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6AE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  <w:r w:rsidR="001655BF" w:rsidRPr="00C416A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866" w:type="dxa"/>
            <w:vMerge/>
          </w:tcPr>
          <w:p w:rsidR="001655BF" w:rsidRPr="008B165C" w:rsidRDefault="001655BF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6997" w:rsidRPr="008B165C" w:rsidTr="00B84DA8">
        <w:tc>
          <w:tcPr>
            <w:tcW w:w="3510" w:type="dxa"/>
          </w:tcPr>
          <w:p w:rsidR="00D46997" w:rsidRPr="008B165C" w:rsidRDefault="00BB0A10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Disadvantaged pupils (1</w:t>
            </w:r>
            <w:r w:rsidR="00D4699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D46997" w:rsidRPr="008B165C" w:rsidRDefault="00BB0A10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2866" w:type="dxa"/>
            <w:vMerge/>
          </w:tcPr>
          <w:p w:rsidR="00D46997" w:rsidRPr="008B165C" w:rsidRDefault="00D46997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6997" w:rsidRPr="008B165C" w:rsidTr="00B84DA8">
        <w:tc>
          <w:tcPr>
            <w:tcW w:w="3510" w:type="dxa"/>
          </w:tcPr>
          <w:p w:rsidR="00D46997" w:rsidRPr="008B165C" w:rsidRDefault="00E14E7A" w:rsidP="000B6D1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Non-disadvantaged</w:t>
            </w:r>
            <w:r w:rsidR="00BB0A10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(38</w:t>
            </w:r>
            <w:r w:rsidR="00D4699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D46997" w:rsidRPr="008B165C" w:rsidRDefault="00BB0A10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866" w:type="dxa"/>
            <w:vMerge/>
          </w:tcPr>
          <w:p w:rsidR="00D46997" w:rsidRPr="008B165C" w:rsidRDefault="00D46997" w:rsidP="00E750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750D4" w:rsidRPr="008B165C" w:rsidRDefault="00E750D4" w:rsidP="000B6D15">
      <w:pPr>
        <w:rPr>
          <w:rFonts w:asciiTheme="minorHAnsi" w:hAnsiTheme="minorHAnsi" w:cstheme="minorHAnsi"/>
          <w:b/>
          <w:sz w:val="24"/>
          <w:szCs w:val="24"/>
        </w:rPr>
      </w:pPr>
    </w:p>
    <w:p w:rsidR="00DE2D68" w:rsidRPr="008B165C" w:rsidRDefault="00863DCC" w:rsidP="00C87698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b/>
          <w:sz w:val="24"/>
          <w:szCs w:val="24"/>
        </w:rPr>
        <w:t xml:space="preserve">End of </w:t>
      </w:r>
      <w:r w:rsidR="00DE2D68" w:rsidRPr="008B165C">
        <w:rPr>
          <w:rFonts w:asciiTheme="minorHAnsi" w:hAnsiTheme="minorHAnsi" w:cstheme="minorHAnsi"/>
          <w:b/>
          <w:sz w:val="24"/>
          <w:szCs w:val="24"/>
        </w:rPr>
        <w:t>KS1</w:t>
      </w:r>
      <w:r w:rsidRPr="008B16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600D" w:rsidRPr="008B165C">
        <w:rPr>
          <w:rFonts w:asciiTheme="minorHAnsi" w:hAnsiTheme="minorHAnsi" w:cstheme="minorHAnsi"/>
          <w:b/>
          <w:sz w:val="24"/>
          <w:szCs w:val="24"/>
        </w:rPr>
        <w:t>Attainment 2019</w:t>
      </w:r>
      <w:r w:rsidR="00850BA8" w:rsidRPr="008B165C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1"/>
        <w:gridCol w:w="1061"/>
        <w:gridCol w:w="1070"/>
        <w:gridCol w:w="1061"/>
        <w:gridCol w:w="1070"/>
        <w:gridCol w:w="1061"/>
        <w:gridCol w:w="1070"/>
      </w:tblGrid>
      <w:tr w:rsidR="009420AC" w:rsidRPr="008B165C" w:rsidTr="00F12A52">
        <w:tc>
          <w:tcPr>
            <w:tcW w:w="3085" w:type="dxa"/>
          </w:tcPr>
          <w:p w:rsidR="009420AC" w:rsidRPr="008B165C" w:rsidRDefault="00F11635" w:rsidP="00693F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Y2 </w:t>
            </w:r>
            <w:r w:rsidR="00214FB6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Cohort:</w:t>
            </w:r>
            <w:r w:rsidR="00D775CF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49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pupils</w:t>
            </w:r>
          </w:p>
        </w:tc>
        <w:tc>
          <w:tcPr>
            <w:tcW w:w="6379" w:type="dxa"/>
            <w:gridSpan w:val="6"/>
          </w:tcPr>
          <w:p w:rsidR="009420AC" w:rsidRPr="008B165C" w:rsidRDefault="009420AC" w:rsidP="00DE2D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693F2A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ercentage</w:t>
            </w:r>
            <w:r w:rsidR="00D804B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achieving the expected standard</w:t>
            </w:r>
            <w:r w:rsidR="00250D56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above</w:t>
            </w:r>
          </w:p>
        </w:tc>
      </w:tr>
      <w:tr w:rsidR="00465BF8" w:rsidRPr="008B165C" w:rsidTr="00293BB0">
        <w:tc>
          <w:tcPr>
            <w:tcW w:w="3085" w:type="dxa"/>
            <w:vMerge w:val="restart"/>
          </w:tcPr>
          <w:p w:rsidR="00465BF8" w:rsidRPr="008B165C" w:rsidRDefault="00465BF8" w:rsidP="00C876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5BF8" w:rsidRPr="008B165C" w:rsidRDefault="00693F2A" w:rsidP="00DE2D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126" w:type="dxa"/>
            <w:gridSpan w:val="2"/>
          </w:tcPr>
          <w:p w:rsidR="00465BF8" w:rsidRPr="008B165C" w:rsidRDefault="00693F2A" w:rsidP="00DE2D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2127" w:type="dxa"/>
            <w:gridSpan w:val="2"/>
          </w:tcPr>
          <w:p w:rsidR="00465BF8" w:rsidRPr="008B165C" w:rsidRDefault="00693F2A" w:rsidP="00DE2D6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Maths</w:t>
            </w:r>
          </w:p>
        </w:tc>
      </w:tr>
      <w:tr w:rsidR="00465BF8" w:rsidRPr="008B165C" w:rsidTr="003F03C7">
        <w:tc>
          <w:tcPr>
            <w:tcW w:w="3085" w:type="dxa"/>
            <w:vMerge/>
          </w:tcPr>
          <w:p w:rsidR="00465BF8" w:rsidRPr="008B165C" w:rsidRDefault="00465BF8" w:rsidP="00D469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1063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National</w:t>
            </w:r>
            <w:r w:rsidR="00E80B5A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1063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National</w:t>
            </w:r>
            <w:r w:rsidR="00E80B5A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1064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National</w:t>
            </w:r>
            <w:r w:rsidR="00E80B5A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93F2A" w:rsidRPr="008B165C" w:rsidTr="003F03C7">
        <w:tc>
          <w:tcPr>
            <w:tcW w:w="3085" w:type="dxa"/>
          </w:tcPr>
          <w:p w:rsidR="00693F2A" w:rsidRPr="008B165C" w:rsidRDefault="00D775CF" w:rsidP="00693F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All pupils (49</w:t>
            </w:r>
            <w:r w:rsidR="00693F2A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693F2A" w:rsidRPr="008B165C" w:rsidRDefault="00D775CF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>4%</w:t>
            </w:r>
          </w:p>
        </w:tc>
        <w:tc>
          <w:tcPr>
            <w:tcW w:w="1063" w:type="dxa"/>
            <w:vMerge w:val="restart"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75%</w:t>
            </w:r>
          </w:p>
        </w:tc>
        <w:tc>
          <w:tcPr>
            <w:tcW w:w="1063" w:type="dxa"/>
          </w:tcPr>
          <w:p w:rsidR="00693F2A" w:rsidRPr="008B165C" w:rsidRDefault="0050414C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63" w:type="dxa"/>
            <w:vMerge w:val="restart"/>
          </w:tcPr>
          <w:p w:rsidR="00693F2A" w:rsidRPr="008B165C" w:rsidRDefault="00D775CF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693F2A" w:rsidRPr="008B165C" w:rsidRDefault="00D775CF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64" w:type="dxa"/>
            <w:vMerge w:val="restart"/>
          </w:tcPr>
          <w:p w:rsidR="00693F2A" w:rsidRPr="008B165C" w:rsidRDefault="0050414C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693F2A" w:rsidRPr="008B165C" w:rsidTr="003F03C7">
        <w:tc>
          <w:tcPr>
            <w:tcW w:w="3085" w:type="dxa"/>
          </w:tcPr>
          <w:p w:rsidR="00693F2A" w:rsidRPr="008B165C" w:rsidRDefault="00693F2A" w:rsidP="00693F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Service </w:t>
            </w:r>
            <w:r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pupils </w:t>
            </w:r>
            <w:r w:rsidR="00AF0E6D"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>(10</w:t>
            </w:r>
            <w:r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063" w:type="dxa"/>
          </w:tcPr>
          <w:p w:rsidR="00693F2A" w:rsidRPr="008B165C" w:rsidRDefault="00AF0E6D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E6D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693F2A" w:rsidRPr="00AF0E6D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693F2A" w:rsidRPr="008B165C" w:rsidRDefault="0050414C" w:rsidP="0069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100% </w:t>
            </w:r>
          </w:p>
        </w:tc>
        <w:tc>
          <w:tcPr>
            <w:tcW w:w="1063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100% </w:t>
            </w:r>
          </w:p>
        </w:tc>
        <w:tc>
          <w:tcPr>
            <w:tcW w:w="1064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93F2A" w:rsidRPr="008B165C" w:rsidTr="003F03C7">
        <w:tc>
          <w:tcPr>
            <w:tcW w:w="3085" w:type="dxa"/>
          </w:tcPr>
          <w:p w:rsidR="00693F2A" w:rsidRPr="008B165C" w:rsidRDefault="00D775CF" w:rsidP="00693F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Disadvantaged Pupils (0)</w:t>
            </w:r>
          </w:p>
        </w:tc>
        <w:tc>
          <w:tcPr>
            <w:tcW w:w="1063" w:type="dxa"/>
          </w:tcPr>
          <w:p w:rsidR="00693F2A" w:rsidRPr="008B165C" w:rsidRDefault="00D775CF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63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3F2A" w:rsidRPr="008B165C" w:rsidRDefault="00D775CF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63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3F2A" w:rsidRPr="008B165C" w:rsidRDefault="00D775CF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64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F2A" w:rsidRPr="008B165C" w:rsidTr="003F03C7">
        <w:tc>
          <w:tcPr>
            <w:tcW w:w="3085" w:type="dxa"/>
          </w:tcPr>
          <w:p w:rsidR="00693F2A" w:rsidRPr="008B165C" w:rsidRDefault="00693F2A" w:rsidP="00693F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Non-disadvantaged (35)</w:t>
            </w:r>
          </w:p>
        </w:tc>
        <w:tc>
          <w:tcPr>
            <w:tcW w:w="1063" w:type="dxa"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89% </w:t>
            </w:r>
          </w:p>
        </w:tc>
        <w:tc>
          <w:tcPr>
            <w:tcW w:w="1063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3F2A" w:rsidRPr="008B165C" w:rsidRDefault="0050414C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63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3F2A" w:rsidRPr="008B165C" w:rsidRDefault="005950AB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  <w:r w:rsidR="00693F2A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64" w:type="dxa"/>
            <w:vMerge/>
          </w:tcPr>
          <w:p w:rsidR="00693F2A" w:rsidRPr="008B165C" w:rsidRDefault="00693F2A" w:rsidP="00693F2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17DE" w:rsidRPr="008B165C" w:rsidRDefault="003617DE" w:rsidP="00863D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775CF" w:rsidRPr="008B165C" w:rsidRDefault="00D775CF" w:rsidP="00863D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775CF" w:rsidRPr="008B165C" w:rsidRDefault="00D775CF" w:rsidP="00863D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50D56" w:rsidRPr="008B165C" w:rsidRDefault="00850BA8" w:rsidP="00863D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B165C">
        <w:rPr>
          <w:rFonts w:asciiTheme="minorHAnsi" w:hAnsiTheme="minorHAnsi" w:cstheme="minorHAnsi"/>
          <w:b/>
          <w:sz w:val="24"/>
          <w:szCs w:val="24"/>
        </w:rPr>
        <w:t>End of KS2</w:t>
      </w:r>
      <w:r w:rsidR="00863DCC" w:rsidRPr="008B16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165C">
        <w:rPr>
          <w:rFonts w:asciiTheme="minorHAnsi" w:hAnsiTheme="minorHAnsi" w:cstheme="minorHAnsi"/>
          <w:b/>
          <w:sz w:val="24"/>
          <w:szCs w:val="24"/>
        </w:rPr>
        <w:t xml:space="preserve">Attainment </w:t>
      </w:r>
      <w:r w:rsidR="0041600D" w:rsidRPr="008B165C">
        <w:rPr>
          <w:rFonts w:asciiTheme="minorHAnsi" w:hAnsiTheme="minorHAnsi" w:cstheme="minorHAnsi"/>
          <w:b/>
          <w:sz w:val="24"/>
          <w:szCs w:val="24"/>
        </w:rPr>
        <w:t>2019</w:t>
      </w:r>
    </w:p>
    <w:p w:rsidR="00250D56" w:rsidRPr="008B165C" w:rsidRDefault="00250D56" w:rsidP="00863D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96"/>
        <w:gridCol w:w="876"/>
        <w:gridCol w:w="1070"/>
        <w:gridCol w:w="876"/>
        <w:gridCol w:w="1070"/>
        <w:gridCol w:w="876"/>
        <w:gridCol w:w="1070"/>
        <w:gridCol w:w="876"/>
        <w:gridCol w:w="1070"/>
      </w:tblGrid>
      <w:tr w:rsidR="00F11635" w:rsidRPr="008B165C" w:rsidTr="00F11635">
        <w:tc>
          <w:tcPr>
            <w:tcW w:w="1573" w:type="dxa"/>
          </w:tcPr>
          <w:p w:rsidR="00F11635" w:rsidRPr="008B165C" w:rsidRDefault="00F11635" w:rsidP="00D469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Y6 </w:t>
            </w:r>
            <w:r w:rsidR="00D775CF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Cohort: 44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pupils</w:t>
            </w:r>
          </w:p>
        </w:tc>
        <w:tc>
          <w:tcPr>
            <w:tcW w:w="7891" w:type="dxa"/>
            <w:gridSpan w:val="8"/>
          </w:tcPr>
          <w:p w:rsidR="00F11635" w:rsidRPr="008B165C" w:rsidRDefault="006177A0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Percentage </w:t>
            </w:r>
            <w:r w:rsidR="00F11635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achieving the expected standard or above</w:t>
            </w:r>
          </w:p>
        </w:tc>
      </w:tr>
      <w:tr w:rsidR="00465BF8" w:rsidRPr="008B165C" w:rsidTr="00F11635">
        <w:tc>
          <w:tcPr>
            <w:tcW w:w="1573" w:type="dxa"/>
            <w:vMerge w:val="restart"/>
          </w:tcPr>
          <w:p w:rsidR="00465BF8" w:rsidRPr="008B165C" w:rsidRDefault="00465BF8" w:rsidP="006C77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5950AB" w:rsidRPr="008B165C" w:rsidRDefault="005950AB" w:rsidP="00595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Reading</w:t>
            </w:r>
          </w:p>
          <w:p w:rsidR="00465BF8" w:rsidRPr="008B165C" w:rsidRDefault="005950AB" w:rsidP="00250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65BF8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(Test result)</w:t>
            </w:r>
          </w:p>
        </w:tc>
        <w:tc>
          <w:tcPr>
            <w:tcW w:w="1973" w:type="dxa"/>
            <w:gridSpan w:val="2"/>
          </w:tcPr>
          <w:p w:rsidR="005950AB" w:rsidRPr="008B165C" w:rsidRDefault="005950AB" w:rsidP="00595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Writing</w:t>
            </w:r>
          </w:p>
          <w:p w:rsidR="00465BF8" w:rsidRPr="008B165C" w:rsidRDefault="005950AB" w:rsidP="00595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65BF8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Teacher assessment</w:t>
            </w:r>
            <w:r w:rsidR="00465BF8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73" w:type="dxa"/>
            <w:gridSpan w:val="2"/>
          </w:tcPr>
          <w:p w:rsidR="005950AB" w:rsidRPr="008B165C" w:rsidRDefault="005950AB" w:rsidP="00595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Maths</w:t>
            </w:r>
          </w:p>
          <w:p w:rsidR="00465BF8" w:rsidRPr="008B165C" w:rsidRDefault="005950AB" w:rsidP="00250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65BF8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Test result</w:t>
            </w:r>
            <w:r w:rsidR="00465BF8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73" w:type="dxa"/>
            <w:gridSpan w:val="2"/>
          </w:tcPr>
          <w:p w:rsidR="00465BF8" w:rsidRPr="008B165C" w:rsidRDefault="00465BF8" w:rsidP="00250D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Reading, Writing &amp; Maths</w:t>
            </w:r>
          </w:p>
        </w:tc>
      </w:tr>
      <w:tr w:rsidR="00465BF8" w:rsidRPr="008B165C" w:rsidTr="00F11635">
        <w:tc>
          <w:tcPr>
            <w:tcW w:w="1573" w:type="dxa"/>
            <w:vMerge/>
          </w:tcPr>
          <w:p w:rsidR="00465BF8" w:rsidRPr="008B165C" w:rsidRDefault="00465BF8" w:rsidP="00D469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1001" w:type="dxa"/>
          </w:tcPr>
          <w:p w:rsidR="00465BF8" w:rsidRPr="008B165C" w:rsidRDefault="00465BF8" w:rsidP="00E80B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972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1001" w:type="dxa"/>
          </w:tcPr>
          <w:p w:rsidR="00465BF8" w:rsidRPr="008B165C" w:rsidRDefault="00465BF8" w:rsidP="00E80B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972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1001" w:type="dxa"/>
          </w:tcPr>
          <w:p w:rsidR="00465BF8" w:rsidRPr="008B165C" w:rsidRDefault="00465BF8" w:rsidP="00E80B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972" w:type="dxa"/>
          </w:tcPr>
          <w:p w:rsidR="00465BF8" w:rsidRPr="008B165C" w:rsidRDefault="00465BF8" w:rsidP="00D469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1001" w:type="dxa"/>
          </w:tcPr>
          <w:p w:rsidR="00465BF8" w:rsidRPr="008B165C" w:rsidRDefault="00465BF8" w:rsidP="00E80B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</w:t>
            </w:r>
          </w:p>
        </w:tc>
      </w:tr>
      <w:tr w:rsidR="00D46997" w:rsidRPr="008B165C" w:rsidTr="00F11635">
        <w:tc>
          <w:tcPr>
            <w:tcW w:w="1573" w:type="dxa"/>
          </w:tcPr>
          <w:p w:rsidR="00D46997" w:rsidRPr="008B165C" w:rsidRDefault="00E80B5A" w:rsidP="00B450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All</w:t>
            </w:r>
            <w:r w:rsidR="00522305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</w:t>
            </w:r>
            <w:r w:rsidR="00214FB6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upils (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D775CF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D4699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D46997" w:rsidRPr="008B165C" w:rsidRDefault="00D775CF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  <w:r w:rsidR="00522305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8B165C" w:rsidRDefault="00D775CF" w:rsidP="00E80B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  <w:p w:rsidR="00D46997" w:rsidRPr="008B165C" w:rsidRDefault="00D46997" w:rsidP="00E80B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D775CF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6177A0" w:rsidRPr="008B165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22305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8B165C" w:rsidRDefault="00D775CF" w:rsidP="00E80B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8B165C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  <w:r w:rsidR="00522305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8B165C" w:rsidRDefault="00D775CF" w:rsidP="00E80B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8B165C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  <w:r w:rsidR="00522305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 w:val="restart"/>
          </w:tcPr>
          <w:p w:rsidR="00D46997" w:rsidRPr="008B165C" w:rsidRDefault="00D775CF" w:rsidP="005223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6F6B" w:rsidRPr="008B165C" w:rsidTr="00F11635">
        <w:tc>
          <w:tcPr>
            <w:tcW w:w="1573" w:type="dxa"/>
          </w:tcPr>
          <w:p w:rsidR="00536F6B" w:rsidRPr="00AF0E6D" w:rsidRDefault="006177A0" w:rsidP="00B450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Service pupils </w:t>
            </w:r>
            <w:r w:rsidR="00AF0E6D"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>(4</w:t>
            </w:r>
            <w:r w:rsidR="00536F6B" w:rsidRPr="00AF0E6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536F6B" w:rsidRPr="00AF0E6D" w:rsidRDefault="00AF0E6D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E6D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6177A0" w:rsidRPr="00AF0E6D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01" w:type="dxa"/>
            <w:vMerge/>
          </w:tcPr>
          <w:p w:rsidR="00536F6B" w:rsidRPr="008B165C" w:rsidRDefault="00536F6B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536F6B" w:rsidRPr="008B165C" w:rsidRDefault="00AF0E6D" w:rsidP="006177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B45060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/>
          </w:tcPr>
          <w:p w:rsidR="00536F6B" w:rsidRPr="008B165C" w:rsidRDefault="00536F6B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536F6B" w:rsidRPr="008B165C" w:rsidRDefault="00AF0E6D" w:rsidP="006177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75</w:t>
            </w:r>
            <w:r w:rsidR="00B45060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/>
          </w:tcPr>
          <w:p w:rsidR="00536F6B" w:rsidRPr="008B165C" w:rsidRDefault="00536F6B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536F6B" w:rsidRPr="008B165C" w:rsidRDefault="00AF0E6D" w:rsidP="006177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B45060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/>
          </w:tcPr>
          <w:p w:rsidR="00536F6B" w:rsidRPr="008B165C" w:rsidRDefault="00536F6B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6997" w:rsidRPr="008B165C" w:rsidTr="00F11635">
        <w:tc>
          <w:tcPr>
            <w:tcW w:w="1573" w:type="dxa"/>
          </w:tcPr>
          <w:p w:rsidR="00D46997" w:rsidRPr="008B165C" w:rsidRDefault="00D775CF" w:rsidP="006C77D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Disadvantaged Pupils (6</w:t>
            </w:r>
            <w:r w:rsidR="00D4699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D46997" w:rsidRPr="008B165C" w:rsidRDefault="00D775CF" w:rsidP="006177A0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ED2901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ED2901" w:rsidP="006177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67% 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8B165C" w:rsidP="006177A0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D2901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8B165C" w:rsidP="006177A0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522305" w:rsidRPr="008B16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D46997" w:rsidRPr="008B165C" w:rsidTr="00F11635">
        <w:tc>
          <w:tcPr>
            <w:tcW w:w="1573" w:type="dxa"/>
          </w:tcPr>
          <w:p w:rsidR="00D46997" w:rsidRPr="008B165C" w:rsidRDefault="00D775CF" w:rsidP="00D775C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Non Disadvantaged</w:t>
            </w:r>
            <w:r w:rsidR="00214FB6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 </w:t>
            </w:r>
            <w:r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  <w:r w:rsidR="00D46997" w:rsidRPr="008B165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D46997" w:rsidRPr="008B165C" w:rsidRDefault="006177A0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775CF" w:rsidRPr="008B165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D775CF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8B165C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92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D46997" w:rsidRPr="008B165C" w:rsidRDefault="008B165C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165C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  <w:r w:rsidR="00D46997" w:rsidRPr="008B165C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001" w:type="dxa"/>
            <w:vMerge/>
          </w:tcPr>
          <w:p w:rsidR="00D46997" w:rsidRPr="008B165C" w:rsidRDefault="00D46997" w:rsidP="006C77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3DCC" w:rsidRPr="008B165C" w:rsidRDefault="00863DCC" w:rsidP="00C87698">
      <w:pPr>
        <w:rPr>
          <w:rFonts w:asciiTheme="minorHAnsi" w:hAnsiTheme="minorHAnsi" w:cstheme="minorHAnsi"/>
          <w:b/>
          <w:sz w:val="24"/>
          <w:szCs w:val="24"/>
        </w:rPr>
      </w:pPr>
    </w:p>
    <w:p w:rsidR="00745060" w:rsidRDefault="007450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Six of service pupils in EYFS were also EAL and new to English, which </w:t>
      </w:r>
      <w:proofErr w:type="gramStart"/>
      <w:r>
        <w:rPr>
          <w:rFonts w:asciiTheme="minorHAnsi" w:hAnsiTheme="minorHAnsi" w:cstheme="minorHAnsi"/>
          <w:sz w:val="24"/>
          <w:szCs w:val="24"/>
        </w:rPr>
        <w:t>impacted 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outcomes at the end of their first year in school.</w:t>
      </w:r>
    </w:p>
    <w:p w:rsidR="008B165C" w:rsidRPr="008B165C" w:rsidRDefault="008B165C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Of the </w:t>
      </w:r>
      <w:proofErr w:type="gramStart"/>
      <w:r w:rsidRPr="008B165C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8B165C">
        <w:rPr>
          <w:rFonts w:asciiTheme="minorHAnsi" w:hAnsiTheme="minorHAnsi" w:cstheme="minorHAnsi"/>
          <w:sz w:val="24"/>
          <w:szCs w:val="24"/>
        </w:rPr>
        <w:t xml:space="preserve"> </w:t>
      </w:r>
      <w:r w:rsidRPr="00745060">
        <w:rPr>
          <w:rFonts w:asciiTheme="minorHAnsi" w:hAnsiTheme="minorHAnsi" w:cstheme="minorHAnsi"/>
          <w:sz w:val="24"/>
          <w:szCs w:val="24"/>
        </w:rPr>
        <w:t>disadvantaged pupils in KS2, one was EAL and 3 had social and emotional barriers. A further two pupils had mild learning difficulties that required additional support in class.</w:t>
      </w:r>
      <w:r w:rsidRPr="008B16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5060" w:rsidRPr="00C416AE" w:rsidRDefault="00C416AE">
      <w:pPr>
        <w:rPr>
          <w:rFonts w:asciiTheme="minorHAnsi" w:hAnsiTheme="minorHAnsi" w:cstheme="minorHAnsi"/>
          <w:sz w:val="24"/>
          <w:szCs w:val="24"/>
        </w:rPr>
      </w:pPr>
      <w:r w:rsidRPr="00C416AE">
        <w:rPr>
          <w:rFonts w:asciiTheme="minorHAnsi" w:hAnsiTheme="minorHAnsi" w:cstheme="minorHAnsi"/>
          <w:sz w:val="24"/>
          <w:szCs w:val="24"/>
        </w:rPr>
        <w:t xml:space="preserve">There were no disadvantaged pupils in Y2 but </w:t>
      </w:r>
      <w:proofErr w:type="spellStart"/>
      <w:r w:rsidRPr="00C416AE">
        <w:rPr>
          <w:rFonts w:asciiTheme="minorHAnsi" w:hAnsiTheme="minorHAnsi" w:cstheme="minorHAnsi"/>
          <w:sz w:val="24"/>
          <w:szCs w:val="24"/>
        </w:rPr>
        <w:t>sevice</w:t>
      </w:r>
      <w:proofErr w:type="spellEnd"/>
      <w:r w:rsidRPr="00C416AE">
        <w:rPr>
          <w:rFonts w:asciiTheme="minorHAnsi" w:hAnsiTheme="minorHAnsi" w:cstheme="minorHAnsi"/>
          <w:sz w:val="24"/>
          <w:szCs w:val="24"/>
        </w:rPr>
        <w:t xml:space="preserve"> pupils achieved better than their </w:t>
      </w:r>
      <w:proofErr w:type="gramStart"/>
      <w:r w:rsidRPr="00C416AE">
        <w:rPr>
          <w:rFonts w:asciiTheme="minorHAnsi" w:hAnsiTheme="minorHAnsi" w:cstheme="minorHAnsi"/>
          <w:sz w:val="24"/>
          <w:szCs w:val="24"/>
        </w:rPr>
        <w:t>peers</w:t>
      </w:r>
      <w:proofErr w:type="gramEnd"/>
      <w:r w:rsidRPr="00C416AE">
        <w:rPr>
          <w:rFonts w:asciiTheme="minorHAnsi" w:hAnsiTheme="minorHAnsi" w:cstheme="minorHAnsi"/>
          <w:sz w:val="24"/>
          <w:szCs w:val="24"/>
        </w:rPr>
        <w:t>.</w:t>
      </w:r>
    </w:p>
    <w:p w:rsidR="00B7637A" w:rsidRPr="008B165C" w:rsidRDefault="00745060">
      <w:pPr>
        <w:rPr>
          <w:rFonts w:asciiTheme="minorHAnsi" w:hAnsiTheme="minorHAnsi" w:cstheme="minorHAnsi"/>
          <w:sz w:val="24"/>
          <w:szCs w:val="24"/>
        </w:rPr>
      </w:pPr>
      <w:r w:rsidRPr="00C416AE">
        <w:rPr>
          <w:rFonts w:asciiTheme="minorHAnsi" w:hAnsiTheme="minorHAnsi" w:cstheme="minorHAnsi"/>
          <w:sz w:val="24"/>
          <w:szCs w:val="24"/>
        </w:rPr>
        <w:t>In KS2, s</w:t>
      </w:r>
      <w:r w:rsidR="008F0426" w:rsidRPr="00C416AE">
        <w:rPr>
          <w:rFonts w:asciiTheme="minorHAnsi" w:hAnsiTheme="minorHAnsi" w:cstheme="minorHAnsi"/>
          <w:sz w:val="24"/>
          <w:szCs w:val="24"/>
        </w:rPr>
        <w:t>ervice pupils achieve</w:t>
      </w:r>
      <w:r w:rsidRPr="00C416AE">
        <w:rPr>
          <w:rFonts w:asciiTheme="minorHAnsi" w:hAnsiTheme="minorHAnsi" w:cstheme="minorHAnsi"/>
          <w:sz w:val="24"/>
          <w:szCs w:val="24"/>
        </w:rPr>
        <w:t>d broadly in line</w:t>
      </w:r>
      <w:r w:rsidR="008F0426" w:rsidRPr="00C416AE">
        <w:rPr>
          <w:rFonts w:asciiTheme="minorHAnsi" w:hAnsiTheme="minorHAnsi" w:cstheme="minorHAnsi"/>
          <w:sz w:val="24"/>
          <w:szCs w:val="24"/>
        </w:rPr>
        <w:t xml:space="preserve"> </w:t>
      </w:r>
      <w:r w:rsidRPr="00C416AE">
        <w:rPr>
          <w:rFonts w:asciiTheme="minorHAnsi" w:hAnsiTheme="minorHAnsi" w:cstheme="minorHAnsi"/>
          <w:sz w:val="24"/>
          <w:szCs w:val="24"/>
        </w:rPr>
        <w:t>with their peers at the expected level, with</w:t>
      </w:r>
      <w:r w:rsidR="008F0426" w:rsidRPr="00C416AE">
        <w:rPr>
          <w:rFonts w:asciiTheme="minorHAnsi" w:hAnsiTheme="minorHAnsi" w:cstheme="minorHAnsi"/>
          <w:sz w:val="24"/>
          <w:szCs w:val="24"/>
        </w:rPr>
        <w:t xml:space="preserve"> more service pupils </w:t>
      </w:r>
      <w:r w:rsidRPr="00C416AE">
        <w:rPr>
          <w:rFonts w:asciiTheme="minorHAnsi" w:hAnsiTheme="minorHAnsi" w:cstheme="minorHAnsi"/>
          <w:sz w:val="24"/>
          <w:szCs w:val="24"/>
        </w:rPr>
        <w:t xml:space="preserve">achieving Greater Depth in maths and writing.    </w:t>
      </w:r>
      <w:proofErr w:type="gramStart"/>
      <w:r w:rsidR="008F0426" w:rsidRPr="00C416AE">
        <w:rPr>
          <w:rFonts w:asciiTheme="minorHAnsi" w:hAnsiTheme="minorHAnsi" w:cstheme="minorHAnsi"/>
          <w:sz w:val="24"/>
          <w:szCs w:val="24"/>
        </w:rPr>
        <w:t>achieving</w:t>
      </w:r>
      <w:proofErr w:type="gramEnd"/>
      <w:r w:rsidR="008F0426" w:rsidRPr="00C416AE">
        <w:rPr>
          <w:rFonts w:asciiTheme="minorHAnsi" w:hAnsiTheme="minorHAnsi" w:cstheme="minorHAnsi"/>
          <w:sz w:val="24"/>
          <w:szCs w:val="24"/>
        </w:rPr>
        <w:t xml:space="preserve"> the expected level at each statutory assessment point.</w:t>
      </w:r>
    </w:p>
    <w:p w:rsidR="008F0426" w:rsidRPr="008B165C" w:rsidRDefault="008F0426">
      <w:pPr>
        <w:rPr>
          <w:rFonts w:asciiTheme="minorHAnsi" w:hAnsiTheme="minorHAnsi" w:cstheme="minorHAnsi"/>
          <w:sz w:val="24"/>
          <w:szCs w:val="24"/>
        </w:rPr>
      </w:pPr>
      <w:r w:rsidRPr="008B165C">
        <w:rPr>
          <w:rFonts w:asciiTheme="minorHAnsi" w:hAnsiTheme="minorHAnsi" w:cstheme="minorHAnsi"/>
          <w:sz w:val="24"/>
          <w:szCs w:val="24"/>
        </w:rPr>
        <w:t xml:space="preserve">The </w:t>
      </w:r>
      <w:r w:rsidR="00C416AE">
        <w:rPr>
          <w:rFonts w:asciiTheme="minorHAnsi" w:hAnsiTheme="minorHAnsi" w:cstheme="minorHAnsi"/>
          <w:sz w:val="24"/>
          <w:szCs w:val="24"/>
        </w:rPr>
        <w:t>very small number of</w:t>
      </w:r>
      <w:r w:rsidRPr="008B165C">
        <w:rPr>
          <w:rFonts w:asciiTheme="minorHAnsi" w:hAnsiTheme="minorHAnsi" w:cstheme="minorHAnsi"/>
          <w:sz w:val="24"/>
          <w:szCs w:val="24"/>
        </w:rPr>
        <w:t xml:space="preserve"> disadvantaged </w:t>
      </w:r>
      <w:r w:rsidR="004129A4" w:rsidRPr="008B165C">
        <w:rPr>
          <w:rFonts w:asciiTheme="minorHAnsi" w:hAnsiTheme="minorHAnsi" w:cstheme="minorHAnsi"/>
          <w:sz w:val="24"/>
          <w:szCs w:val="24"/>
        </w:rPr>
        <w:t>pupils make it difficult to draw conclusions from the data.</w:t>
      </w:r>
      <w:r w:rsidR="008B165C" w:rsidRPr="008B165C">
        <w:rPr>
          <w:rFonts w:asciiTheme="minorHAnsi" w:hAnsiTheme="minorHAnsi" w:cstheme="minorHAnsi"/>
          <w:sz w:val="24"/>
          <w:szCs w:val="24"/>
        </w:rPr>
        <w:t xml:space="preserve"> Across the school, attainment of disadvantaged pupils is a mixed picture, with some cohorts performing better than their peers and vice versa.</w:t>
      </w:r>
      <w:r w:rsidR="00C416AE">
        <w:rPr>
          <w:rFonts w:asciiTheme="minorHAnsi" w:hAnsiTheme="minorHAnsi" w:cstheme="minorHAnsi"/>
          <w:sz w:val="24"/>
          <w:szCs w:val="24"/>
        </w:rPr>
        <w:t xml:space="preserve"> Service pupils tend to perform well, although where pupils are new to English this can affect attainment.</w:t>
      </w:r>
    </w:p>
    <w:p w:rsidR="00CD297E" w:rsidRPr="008B165C" w:rsidRDefault="00CD297E" w:rsidP="001B328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CD297E" w:rsidRPr="008B165C" w:rsidSect="001F25C3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62E7"/>
    <w:multiLevelType w:val="hybridMultilevel"/>
    <w:tmpl w:val="1A5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EA"/>
    <w:multiLevelType w:val="hybridMultilevel"/>
    <w:tmpl w:val="79C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5AE"/>
    <w:multiLevelType w:val="hybridMultilevel"/>
    <w:tmpl w:val="8C3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82D"/>
    <w:multiLevelType w:val="hybridMultilevel"/>
    <w:tmpl w:val="86BE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A03"/>
    <w:multiLevelType w:val="hybridMultilevel"/>
    <w:tmpl w:val="16F2A8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AB0784"/>
    <w:multiLevelType w:val="hybridMultilevel"/>
    <w:tmpl w:val="0A3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3693"/>
    <w:multiLevelType w:val="hybridMultilevel"/>
    <w:tmpl w:val="B42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476DA"/>
    <w:multiLevelType w:val="hybridMultilevel"/>
    <w:tmpl w:val="BE7C5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170E4"/>
    <w:multiLevelType w:val="hybridMultilevel"/>
    <w:tmpl w:val="314E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3F05"/>
    <w:multiLevelType w:val="hybridMultilevel"/>
    <w:tmpl w:val="76449CA0"/>
    <w:lvl w:ilvl="0" w:tplc="143C9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A5450"/>
    <w:multiLevelType w:val="hybridMultilevel"/>
    <w:tmpl w:val="73700F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27E6"/>
    <w:multiLevelType w:val="hybridMultilevel"/>
    <w:tmpl w:val="9B1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2E35"/>
    <w:multiLevelType w:val="hybridMultilevel"/>
    <w:tmpl w:val="B0F4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928"/>
    <w:multiLevelType w:val="hybridMultilevel"/>
    <w:tmpl w:val="CBA4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27BA"/>
    <w:multiLevelType w:val="hybridMultilevel"/>
    <w:tmpl w:val="AA2C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5C7B"/>
    <w:multiLevelType w:val="hybridMultilevel"/>
    <w:tmpl w:val="27C2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4471BD"/>
    <w:multiLevelType w:val="hybridMultilevel"/>
    <w:tmpl w:val="45F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6B8B"/>
    <w:multiLevelType w:val="hybridMultilevel"/>
    <w:tmpl w:val="DFA2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0785"/>
    <w:multiLevelType w:val="hybridMultilevel"/>
    <w:tmpl w:val="44D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7E8C"/>
    <w:multiLevelType w:val="hybridMultilevel"/>
    <w:tmpl w:val="3CA0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95B44"/>
    <w:multiLevelType w:val="hybridMultilevel"/>
    <w:tmpl w:val="0FCC837A"/>
    <w:lvl w:ilvl="0" w:tplc="BDD07F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8082E"/>
    <w:multiLevelType w:val="hybridMultilevel"/>
    <w:tmpl w:val="167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F2084"/>
    <w:multiLevelType w:val="hybridMultilevel"/>
    <w:tmpl w:val="417A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61AC"/>
    <w:multiLevelType w:val="hybridMultilevel"/>
    <w:tmpl w:val="B15C9CAC"/>
    <w:lvl w:ilvl="0" w:tplc="BDD07F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F791F"/>
    <w:multiLevelType w:val="hybridMultilevel"/>
    <w:tmpl w:val="A9E4FD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CB34E1"/>
    <w:multiLevelType w:val="hybridMultilevel"/>
    <w:tmpl w:val="B37AEA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7F14737"/>
    <w:multiLevelType w:val="hybridMultilevel"/>
    <w:tmpl w:val="76D2B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6637D"/>
    <w:multiLevelType w:val="hybridMultilevel"/>
    <w:tmpl w:val="06961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96775"/>
    <w:multiLevelType w:val="hybridMultilevel"/>
    <w:tmpl w:val="6E2AD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2"/>
  </w:num>
  <w:num w:numId="5">
    <w:abstractNumId w:val="27"/>
  </w:num>
  <w:num w:numId="6">
    <w:abstractNumId w:val="26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9"/>
  </w:num>
  <w:num w:numId="12">
    <w:abstractNumId w:val="16"/>
  </w:num>
  <w:num w:numId="13">
    <w:abstractNumId w:val="10"/>
  </w:num>
  <w:num w:numId="14">
    <w:abstractNumId w:val="28"/>
  </w:num>
  <w:num w:numId="15">
    <w:abstractNumId w:val="4"/>
  </w:num>
  <w:num w:numId="16">
    <w:abstractNumId w:val="25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5"/>
  </w:num>
  <w:num w:numId="22">
    <w:abstractNumId w:val="20"/>
  </w:num>
  <w:num w:numId="23">
    <w:abstractNumId w:val="15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D"/>
    <w:rsid w:val="00040A56"/>
    <w:rsid w:val="00041E9F"/>
    <w:rsid w:val="0007167F"/>
    <w:rsid w:val="00095E02"/>
    <w:rsid w:val="000B1EB6"/>
    <w:rsid w:val="000B6D15"/>
    <w:rsid w:val="000C0D32"/>
    <w:rsid w:val="00107B8C"/>
    <w:rsid w:val="00155F4E"/>
    <w:rsid w:val="001623E2"/>
    <w:rsid w:val="001655BF"/>
    <w:rsid w:val="001A1648"/>
    <w:rsid w:val="001A2376"/>
    <w:rsid w:val="001A442C"/>
    <w:rsid w:val="001B3280"/>
    <w:rsid w:val="001F25C3"/>
    <w:rsid w:val="00206EE2"/>
    <w:rsid w:val="00214FB6"/>
    <w:rsid w:val="00232DED"/>
    <w:rsid w:val="0023664F"/>
    <w:rsid w:val="00250D56"/>
    <w:rsid w:val="00265BEC"/>
    <w:rsid w:val="00293BB0"/>
    <w:rsid w:val="002A175A"/>
    <w:rsid w:val="002D264B"/>
    <w:rsid w:val="002D4CA2"/>
    <w:rsid w:val="003261B0"/>
    <w:rsid w:val="003617DE"/>
    <w:rsid w:val="003721C2"/>
    <w:rsid w:val="00383C71"/>
    <w:rsid w:val="00406767"/>
    <w:rsid w:val="004129A4"/>
    <w:rsid w:val="0041600D"/>
    <w:rsid w:val="004431DD"/>
    <w:rsid w:val="00445644"/>
    <w:rsid w:val="004623B0"/>
    <w:rsid w:val="00465BF8"/>
    <w:rsid w:val="00494E81"/>
    <w:rsid w:val="004A71C2"/>
    <w:rsid w:val="004C27C8"/>
    <w:rsid w:val="0050414C"/>
    <w:rsid w:val="00522305"/>
    <w:rsid w:val="00536F6B"/>
    <w:rsid w:val="00544F18"/>
    <w:rsid w:val="00555547"/>
    <w:rsid w:val="005950AB"/>
    <w:rsid w:val="00595A0F"/>
    <w:rsid w:val="005E54B7"/>
    <w:rsid w:val="00615818"/>
    <w:rsid w:val="006177A0"/>
    <w:rsid w:val="00670919"/>
    <w:rsid w:val="006935A0"/>
    <w:rsid w:val="00693F2A"/>
    <w:rsid w:val="006B3C28"/>
    <w:rsid w:val="006B45E0"/>
    <w:rsid w:val="006F6493"/>
    <w:rsid w:val="007038D7"/>
    <w:rsid w:val="00745060"/>
    <w:rsid w:val="00754665"/>
    <w:rsid w:val="00761064"/>
    <w:rsid w:val="00766D3F"/>
    <w:rsid w:val="007678AD"/>
    <w:rsid w:val="007979D7"/>
    <w:rsid w:val="007B12BB"/>
    <w:rsid w:val="007D4785"/>
    <w:rsid w:val="007F5B36"/>
    <w:rsid w:val="007F7446"/>
    <w:rsid w:val="00806EEB"/>
    <w:rsid w:val="008200FA"/>
    <w:rsid w:val="00826B41"/>
    <w:rsid w:val="00850BA8"/>
    <w:rsid w:val="00863DCC"/>
    <w:rsid w:val="00894147"/>
    <w:rsid w:val="008B165C"/>
    <w:rsid w:val="008E2F21"/>
    <w:rsid w:val="008F0426"/>
    <w:rsid w:val="00922179"/>
    <w:rsid w:val="009420AC"/>
    <w:rsid w:val="009C39FD"/>
    <w:rsid w:val="009D19A8"/>
    <w:rsid w:val="00A03FE6"/>
    <w:rsid w:val="00A115F5"/>
    <w:rsid w:val="00A905C1"/>
    <w:rsid w:val="00A92A3A"/>
    <w:rsid w:val="00AB2612"/>
    <w:rsid w:val="00AC5341"/>
    <w:rsid w:val="00AD58E7"/>
    <w:rsid w:val="00AF0E6D"/>
    <w:rsid w:val="00AF14B0"/>
    <w:rsid w:val="00B131E8"/>
    <w:rsid w:val="00B45060"/>
    <w:rsid w:val="00B51451"/>
    <w:rsid w:val="00B738FD"/>
    <w:rsid w:val="00B7637A"/>
    <w:rsid w:val="00B84DA8"/>
    <w:rsid w:val="00B85F47"/>
    <w:rsid w:val="00BB0A10"/>
    <w:rsid w:val="00BC689D"/>
    <w:rsid w:val="00C1335C"/>
    <w:rsid w:val="00C378B5"/>
    <w:rsid w:val="00C416AE"/>
    <w:rsid w:val="00C87698"/>
    <w:rsid w:val="00CC7537"/>
    <w:rsid w:val="00CD297E"/>
    <w:rsid w:val="00CD4C0F"/>
    <w:rsid w:val="00D169E4"/>
    <w:rsid w:val="00D21140"/>
    <w:rsid w:val="00D21650"/>
    <w:rsid w:val="00D36052"/>
    <w:rsid w:val="00D46997"/>
    <w:rsid w:val="00D512C8"/>
    <w:rsid w:val="00D61B66"/>
    <w:rsid w:val="00D70126"/>
    <w:rsid w:val="00D775CF"/>
    <w:rsid w:val="00D804B7"/>
    <w:rsid w:val="00D91EFD"/>
    <w:rsid w:val="00DE2D68"/>
    <w:rsid w:val="00DE42C6"/>
    <w:rsid w:val="00E11410"/>
    <w:rsid w:val="00E14E7A"/>
    <w:rsid w:val="00E2747D"/>
    <w:rsid w:val="00E32F56"/>
    <w:rsid w:val="00E47BFA"/>
    <w:rsid w:val="00E50485"/>
    <w:rsid w:val="00E51A5C"/>
    <w:rsid w:val="00E608DF"/>
    <w:rsid w:val="00E707A3"/>
    <w:rsid w:val="00E71D52"/>
    <w:rsid w:val="00E7352B"/>
    <w:rsid w:val="00E750D4"/>
    <w:rsid w:val="00E80B5A"/>
    <w:rsid w:val="00E87F7D"/>
    <w:rsid w:val="00E955A5"/>
    <w:rsid w:val="00EB3EB0"/>
    <w:rsid w:val="00EB5D6F"/>
    <w:rsid w:val="00ED2901"/>
    <w:rsid w:val="00F11635"/>
    <w:rsid w:val="00F17C2D"/>
    <w:rsid w:val="00F47E3B"/>
    <w:rsid w:val="00F574B5"/>
    <w:rsid w:val="00F657D1"/>
    <w:rsid w:val="00FB3F56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EDA4"/>
  <w15:docId w15:val="{D265B594-19EC-4D09-8347-EA573DE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7D"/>
    <w:pPr>
      <w:ind w:left="720"/>
      <w:contextualSpacing/>
    </w:pPr>
  </w:style>
  <w:style w:type="table" w:styleId="TableGrid">
    <w:name w:val="Table Grid"/>
    <w:basedOn w:val="TableNormal"/>
    <w:uiPriority w:val="39"/>
    <w:rsid w:val="002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F25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PPG Expenditure for 2018-19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61-4FDB-9D62-27E39AF8CE6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61-4FDB-9D62-27E39AF8CE6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61-4FDB-9D62-27E39AF8CE6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61-4FDB-9D62-27E39AF8CE68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061-4FDB-9D62-27E39AF8CE68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061-4FDB-9D62-27E39AF8CE68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061-4FDB-9D62-27E39AF8CE68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061-4FDB-9D62-27E39AF8CE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Sheet1!$B$3:$B$10</c:f>
              <c:strCache>
                <c:ptCount val="8"/>
                <c:pt idx="0">
                  <c:v>Pupil Premium Champion</c:v>
                </c:pt>
                <c:pt idx="1">
                  <c:v>TA support and interventions</c:v>
                </c:pt>
                <c:pt idx="2">
                  <c:v>Nurture, mental health and social skills</c:v>
                </c:pt>
                <c:pt idx="3">
                  <c:v>Clubs, trips and extra curricula</c:v>
                </c:pt>
                <c:pt idx="4">
                  <c:v>Peripatetic music lessons </c:v>
                </c:pt>
                <c:pt idx="5">
                  <c:v>Training and resources</c:v>
                </c:pt>
                <c:pt idx="6">
                  <c:v>Cool Milk and additional resources for Pupil Premium pupils</c:v>
                </c:pt>
                <c:pt idx="7">
                  <c:v>Service pupil champion expenses, including mobile phone</c:v>
                </c:pt>
              </c:strCache>
            </c:strRef>
          </c:cat>
          <c:val>
            <c:numRef>
              <c:f>Sheet1!$C$3:$C$10</c:f>
              <c:numCache>
                <c:formatCode>General</c:formatCode>
                <c:ptCount val="8"/>
                <c:pt idx="0">
                  <c:v>61</c:v>
                </c:pt>
                <c:pt idx="1">
                  <c:v>30</c:v>
                </c:pt>
                <c:pt idx="2">
                  <c:v>2</c:v>
                </c:pt>
                <c:pt idx="3">
                  <c:v>2</c:v>
                </c:pt>
                <c:pt idx="4">
                  <c:v>0.5</c:v>
                </c:pt>
                <c:pt idx="5">
                  <c:v>1</c:v>
                </c:pt>
                <c:pt idx="6">
                  <c:v>3</c:v>
                </c:pt>
                <c:pt idx="7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061-4FDB-9D62-27E39AF8CE68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58191118302732"/>
          <c:y val="0.11449127003280971"/>
          <c:w val="0.34169486972458701"/>
          <c:h val="0.88550872996719032"/>
        </c:manualLayout>
      </c:layout>
      <c:overlay val="0"/>
      <c:spPr>
        <a:noFill/>
        <a:ln>
          <a:solidFill>
            <a:schemeClr val="accen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954F-29EF-4DFA-8036-9CAAF07D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 Bland</cp:lastModifiedBy>
  <cp:revision>2</cp:revision>
  <cp:lastPrinted>2016-11-02T15:47:00Z</cp:lastPrinted>
  <dcterms:created xsi:type="dcterms:W3CDTF">2019-11-29T13:25:00Z</dcterms:created>
  <dcterms:modified xsi:type="dcterms:W3CDTF">2019-11-29T13:25:00Z</dcterms:modified>
</cp:coreProperties>
</file>